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167</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520450</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b/>
          <w:sz w:val="24"/>
          <w:szCs w:val="24"/>
          <w:highlight w:val="none"/>
          <w:lang w:eastAsia="zh-CN"/>
        </w:rPr>
        <w:t>Dallas, USA, Nov. 17-21</w:t>
      </w:r>
      <w:r>
        <w:rPr>
          <w:rFonts w:hint="default" w:ascii="Times New Roman" w:hAnsi="Times New Roman" w:eastAsia="宋体" w:cs="Times New Roman"/>
          <w:b/>
          <w:sz w:val="24"/>
          <w:szCs w:val="24"/>
          <w:highlight w:val="none"/>
          <w:lang w:eastAsia="zh-CN"/>
        </w:rPr>
        <w:t>,</w:t>
      </w:r>
      <w:r>
        <w:rPr>
          <w:rFonts w:hint="default" w:ascii="Times New Roman" w:hAnsi="Times New Roman" w:cs="Times New Roman"/>
          <w:b/>
          <w:bCs/>
          <w:sz w:val="24"/>
          <w:szCs w:val="24"/>
          <w:highlight w:val="none"/>
        </w:rPr>
        <w:t xml:space="preserve"> 2025</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9</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bookmarkStart w:id="2" w:name="OLE_LINK23"/>
      <w:bookmarkStart w:id="3" w:name="OLE_LINK24"/>
      <w:bookmarkStart w:id="4" w:name="OLE_LINK8"/>
      <w:bookmarkStart w:id="5" w:name="OLE_LINK7"/>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Inter-vendor training collaboration and interoperability for two-sided AI/ML models</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5582888">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Artificial Intelligence (AI)/Machine Learning (ML) for NR air interface enhancements</w:t>
      </w:r>
      <w:r>
        <w:rPr>
          <w:rFonts w:ascii="Times New Roman" w:hAnsi="Times New Roman"/>
          <w:sz w:val="20"/>
          <w:szCs w:val="20"/>
        </w:rPr>
        <w:t xml:space="preserve"> was approved [1]. The objectives for RAN4 are duplicated as following.</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45D3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71FC8BC">
            <w:pPr>
              <w:spacing w:after="0"/>
              <w:rPr>
                <w:rFonts w:hint="default" w:ascii="Times New Roman" w:hAnsi="Times New Roman" w:cs="Times New Roman"/>
                <w:bCs/>
                <w:sz w:val="20"/>
                <w:szCs w:val="20"/>
                <w:lang w:val="en-US"/>
              </w:rPr>
            </w:pPr>
            <w:r>
              <w:rPr>
                <w:rFonts w:hint="default" w:ascii="Times New Roman" w:hAnsi="Times New Roman" w:cs="Times New Roman"/>
                <w:b/>
                <w:color w:val="0000FF"/>
                <w:sz w:val="20"/>
                <w:szCs w:val="20"/>
                <w:lang w:val="en-US"/>
              </w:rPr>
              <w:t>Inter-vendor training collaboration</w:t>
            </w:r>
            <w:r>
              <w:rPr>
                <w:rFonts w:hint="default" w:ascii="Times New Roman" w:hAnsi="Times New Roman" w:cs="Times New Roman"/>
                <w:bCs/>
                <w:color w:val="0000FF"/>
                <w:sz w:val="20"/>
                <w:szCs w:val="20"/>
                <w:lang w:val="en-US"/>
              </w:rPr>
              <w:t xml:space="preserve"> </w:t>
            </w:r>
            <w:r>
              <w:rPr>
                <w:rFonts w:hint="default" w:ascii="Times New Roman" w:hAnsi="Times New Roman" w:cs="Times New Roman"/>
                <w:bCs/>
                <w:sz w:val="20"/>
                <w:szCs w:val="20"/>
                <w:lang w:val="en-US"/>
              </w:rPr>
              <w:t xml:space="preserve">for two-sided AI/ML models </w:t>
            </w:r>
          </w:p>
          <w:p w14:paraId="7964AD3C">
            <w:pPr>
              <w:pStyle w:val="13"/>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Fully defined/specified reference model (“Direction C”) with RAN1 scalability study outcome taken into account [RAN4/RAN1] – check-point in RAN#110 upon RAN4 feedback</w:t>
            </w:r>
          </w:p>
          <w:p w14:paraId="2656C7F1">
            <w:pPr>
              <w:pStyle w:val="13"/>
              <w:numPr>
                <w:ilvl w:val="1"/>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A4126D0">
            <w:pPr>
              <w:pStyle w:val="13"/>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Specification of standardized dataset format/content plus dataset exchange (“Direction A, sub-option 4-1”) [RAN1/RAN2/RAN3/RAN4] – check-point in RAN#110 upon SA WG feedback</w:t>
            </w:r>
          </w:p>
          <w:p w14:paraId="197FAE04">
            <w:pPr>
              <w:spacing w:after="0"/>
              <w:rPr>
                <w:rFonts w:hint="default" w:ascii="Times New Roman" w:hAnsi="Times New Roman" w:cs="Times New Roman"/>
                <w:bCs/>
                <w:sz w:val="20"/>
                <w:szCs w:val="20"/>
                <w:lang w:val="en-US"/>
              </w:rPr>
            </w:pPr>
            <w:r>
              <w:rPr>
                <w:rFonts w:hint="default" w:ascii="Times New Roman" w:hAnsi="Times New Roman" w:cs="Times New Roman"/>
                <w:b/>
                <w:color w:val="0000FF"/>
                <w:sz w:val="20"/>
                <w:szCs w:val="20"/>
                <w:lang w:val="en-US"/>
              </w:rPr>
              <w:t>Interoperability and RRM requirement</w:t>
            </w:r>
            <w:r>
              <w:rPr>
                <w:rFonts w:hint="default" w:ascii="Times New Roman" w:hAnsi="Times New Roman" w:cs="Times New Roman"/>
                <w:bCs/>
                <w:color w:val="0000FF"/>
                <w:sz w:val="20"/>
                <w:szCs w:val="20"/>
                <w:lang w:val="en-US"/>
              </w:rPr>
              <w:t xml:space="preserve"> </w:t>
            </w:r>
            <w:r>
              <w:rPr>
                <w:rFonts w:hint="default" w:ascii="Times New Roman" w:hAnsi="Times New Roman" w:cs="Times New Roman"/>
                <w:bCs/>
                <w:sz w:val="20"/>
                <w:szCs w:val="20"/>
                <w:lang w:val="en-US"/>
              </w:rPr>
              <w:t>[RAN4]:</w:t>
            </w:r>
          </w:p>
          <w:p w14:paraId="52438B52">
            <w:pPr>
              <w:pStyle w:val="13"/>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To define the requirement for the encoder, specify the standardized test decoder to guarantee interoperability</w:t>
            </w:r>
          </w:p>
          <w:p w14:paraId="0444A7A7">
            <w:pPr>
              <w:pStyle w:val="13"/>
              <w:numPr>
                <w:ilvl w:val="1"/>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The fully specified test decoder, data set, and corresponding reference encoder in RAN4 to be used for inter-vendor collaboration </w:t>
            </w:r>
          </w:p>
          <w:p w14:paraId="58E0637E">
            <w:pPr>
              <w:pStyle w:val="13"/>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Necessary RRM requirement for specified LCM procedures.</w:t>
            </w:r>
          </w:p>
          <w:p w14:paraId="57F972ED">
            <w:pPr>
              <w:pStyle w:val="13"/>
              <w:numPr>
                <w:ilvl w:val="0"/>
                <w:numId w:val="5"/>
              </w:numPr>
              <w:spacing w:after="0"/>
              <w:rPr>
                <w:rFonts w:hint="default" w:ascii="Times New Roman" w:hAnsi="Times New Roman" w:cs="Times New Roman"/>
                <w:bCs/>
                <w:sz w:val="20"/>
                <w:szCs w:val="20"/>
              </w:rPr>
            </w:pPr>
            <w:r>
              <w:rPr>
                <w:rFonts w:hint="default" w:ascii="Times New Roman" w:hAnsi="Times New Roman" w:cs="Times New Roman"/>
                <w:bCs/>
                <w:sz w:val="20"/>
                <w:szCs w:val="20"/>
                <w:lang w:val="en-US"/>
              </w:rPr>
              <w:t>NOTE: offline training is assumed for the purpose of this project. Strive to leverage on RAN1’s study on scalable model structure in FS_NR_AIML_Air.</w:t>
            </w:r>
          </w:p>
          <w:p w14:paraId="347D2E4C">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2D46BBC3">
      <w:pPr>
        <w:spacing w:before="180" w:after="180" w:line="240" w:lineRule="exact"/>
        <w:rPr>
          <w:rFonts w:hint="eastAsia" w:ascii="Times New Roman" w:hAnsi="Times New Roman"/>
          <w:sz w:val="20"/>
          <w:szCs w:val="20"/>
          <w:lang w:val="en-US" w:eastAsia="zh-CN"/>
        </w:rPr>
      </w:pPr>
    </w:p>
    <w:p w14:paraId="75C4B1C6">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w:t>
      </w:r>
      <w:r>
        <w:rPr>
          <w:rFonts w:hint="eastAsia" w:ascii="Times New Roman" w:hAnsi="Times New Roman"/>
          <w:sz w:val="20"/>
          <w:szCs w:val="20"/>
        </w:rPr>
        <w:t>Artificial Intelligence (AI)/Machine Learning (ML) for NR air interface enhancements</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 xml:space="preserve">his contribution provides </w:t>
      </w:r>
      <w:r>
        <w:rPr>
          <w:rFonts w:hint="eastAsia" w:ascii="Times New Roman" w:hAnsi="Times New Roman"/>
          <w:sz w:val="20"/>
          <w:szCs w:val="20"/>
          <w:lang w:val="en-US" w:eastAsia="zh-CN"/>
        </w:rPr>
        <w:t xml:space="preserve">further </w:t>
      </w:r>
      <w:r>
        <w:rPr>
          <w:rFonts w:hint="eastAsia" w:ascii="Times New Roman" w:hAnsi="Times New Roman"/>
          <w:sz w:val="20"/>
          <w:szCs w:val="20"/>
        </w:rPr>
        <w:t xml:space="preserve">discussion on </w:t>
      </w:r>
      <w:r>
        <w:rPr>
          <w:rFonts w:hint="eastAsia" w:ascii="Times New Roman" w:hAnsi="Times New Roman"/>
          <w:sz w:val="20"/>
          <w:szCs w:val="20"/>
          <w:lang w:val="en-US" w:eastAsia="zh-CN"/>
        </w:rPr>
        <w:t>this topic</w:t>
      </w:r>
      <w:r>
        <w:rPr>
          <w:rFonts w:hint="eastAsia" w:ascii="Times New Roman" w:hAnsi="Times New Roman"/>
          <w:sz w:val="20"/>
          <w:szCs w:val="20"/>
        </w:rPr>
        <w:t>.</w:t>
      </w:r>
    </w:p>
    <w:p w14:paraId="1DEBCE61">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b w:val="0"/>
          <w:bCs w:val="0"/>
          <w:kern w:val="0"/>
          <w:sz w:val="36"/>
          <w:szCs w:val="36"/>
        </w:rPr>
        <w:t xml:space="preserve"> </w:t>
      </w:r>
    </w:p>
    <w:p w14:paraId="7D9DF941">
      <w:pPr>
        <w:spacing w:after="180" w:line="240" w:lineRule="exact"/>
        <w:rPr>
          <w:rFonts w:hint="default" w:ascii="Times New Roman" w:hAnsi="Times New Roman" w:cs="Times New Roman"/>
          <w:bCs/>
          <w:sz w:val="20"/>
          <w:szCs w:val="20"/>
          <w:lang w:val="en-US" w:eastAsia="zh-CN"/>
        </w:rPr>
      </w:pPr>
      <w:r>
        <w:rPr>
          <w:rFonts w:hint="eastAsia" w:ascii="Times New Roman" w:hAnsi="Times New Roman" w:eastAsia="等线"/>
          <w:bCs/>
          <w:iCs/>
          <w:sz w:val="20"/>
          <w:szCs w:val="20"/>
          <w:lang w:val="en-US" w:eastAsia="zh-CN"/>
        </w:rPr>
        <w:t xml:space="preserve">For inter-vendor training collaboration for two-sided AI/ML models, the target is to fully define/specify </w:t>
      </w:r>
      <w:r>
        <w:rPr>
          <w:rFonts w:hint="default" w:ascii="Times New Roman" w:hAnsi="Times New Roman" w:cs="Times New Roman"/>
          <w:bCs/>
          <w:sz w:val="20"/>
          <w:szCs w:val="20"/>
          <w:lang w:val="en-US"/>
        </w:rPr>
        <w:t>reference model</w:t>
      </w:r>
      <w:r>
        <w:rPr>
          <w:rFonts w:hint="eastAsia" w:ascii="Times New Roman" w:hAnsi="Times New Roman" w:eastAsia="等线"/>
          <w:bCs/>
          <w:iCs/>
          <w:sz w:val="20"/>
          <w:szCs w:val="20"/>
          <w:lang w:val="en-US" w:eastAsia="zh-CN"/>
        </w:rPr>
        <w:t xml:space="preserve">. Direction C refer to fully standardized reference model (structure + parameters). </w:t>
      </w:r>
      <w:r>
        <w:rPr>
          <w:rFonts w:hint="default" w:ascii="Times New Roman" w:hAnsi="Times New Roman" w:cs="Times New Roman"/>
          <w:bCs/>
          <w:sz w:val="20"/>
          <w:szCs w:val="20"/>
          <w:lang w:val="en-US"/>
        </w:rPr>
        <w:t>Direction A, sub-option 3a-1</w:t>
      </w:r>
      <w:r>
        <w:rPr>
          <w:rFonts w:hint="eastAsia" w:ascii="Times New Roman" w:hAnsi="Times New Roman" w:cs="Times New Roman"/>
          <w:bCs/>
          <w:sz w:val="20"/>
          <w:szCs w:val="20"/>
          <w:lang w:val="en-US" w:eastAsia="zh-CN"/>
        </w:rPr>
        <w:t xml:space="preserve"> refer to specification of standardized encoder model structure plus parameter exchange. The agreements on inter-vendor training collaboration are duplicated as below.</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D6C3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5AFA2FB">
            <w:pPr>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Agreement:</w:t>
            </w:r>
          </w:p>
          <w:p w14:paraId="03BBC6A5">
            <w:pPr>
              <w:rPr>
                <w:rFonts w:hint="default" w:ascii="Times New Roman" w:hAnsi="Times New Roman" w:cs="Times New Roman"/>
                <w:bCs/>
                <w:sz w:val="20"/>
                <w:szCs w:val="20"/>
                <w:u w:val="single"/>
                <w:lang w:eastAsia="zh-CN"/>
              </w:rPr>
            </w:pPr>
            <w:r>
              <w:rPr>
                <w:rFonts w:hint="default" w:ascii="Times New Roman" w:hAnsi="Times New Roman" w:cs="Times New Roman"/>
                <w:bCs/>
                <w:sz w:val="20"/>
                <w:szCs w:val="20"/>
                <w:u w:val="single"/>
                <w:lang w:eastAsia="zh-CN"/>
              </w:rPr>
              <w:t>Definitions:</w:t>
            </w:r>
          </w:p>
          <w:p w14:paraId="431E9B30">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Fully specified the model</w:t>
            </w:r>
            <w:r>
              <w:rPr>
                <w:rFonts w:hint="default" w:ascii="Times New Roman" w:hAnsi="Times New Roman" w:cs="Times New Roman"/>
                <w:bCs/>
                <w:sz w:val="20"/>
                <w:szCs w:val="20"/>
                <w:lang w:eastAsia="zh-CN"/>
              </w:rPr>
              <w:t xml:space="preserve"> is defined as a specified structure with parameter in [TS].</w:t>
            </w:r>
          </w:p>
          <w:p w14:paraId="08344CDE">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Reference model</w:t>
            </w:r>
            <w:r>
              <w:rPr>
                <w:rFonts w:hint="default" w:ascii="Times New Roman" w:hAnsi="Times New Roman" w:cs="Times New Roman"/>
                <w:bCs/>
                <w:sz w:val="20"/>
                <w:szCs w:val="20"/>
                <w:lang w:eastAsia="zh-CN"/>
              </w:rPr>
              <w:t xml:space="preserve"> means UE/NW is not mandated to implement it.</w:t>
            </w:r>
          </w:p>
          <w:p w14:paraId="59759E9D">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Test decoder</w:t>
            </w:r>
            <w:r>
              <w:rPr>
                <w:rFonts w:hint="default" w:ascii="Times New Roman" w:hAnsi="Times New Roman" w:cs="Times New Roman"/>
                <w:bCs/>
                <w:sz w:val="20"/>
                <w:szCs w:val="20"/>
                <w:lang w:eastAsia="zh-CN"/>
              </w:rPr>
              <w:t xml:space="preserve"> means TE vendor needs to implement it for testing purpose</w:t>
            </w:r>
          </w:p>
          <w:p w14:paraId="1052CF32">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Direct C in RAN1:</w:t>
            </w:r>
            <w:r>
              <w:rPr>
                <w:rFonts w:hint="default" w:ascii="Times New Roman" w:hAnsi="Times New Roman" w:cs="Times New Roman"/>
                <w:bCs/>
                <w:sz w:val="20"/>
                <w:szCs w:val="20"/>
                <w:lang w:eastAsia="zh-CN"/>
              </w:rPr>
              <w:t xml:space="preserve"> fully specified reference encoder and decoder</w:t>
            </w:r>
          </w:p>
          <w:p w14:paraId="53E362B1">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Option 3 in RAN4:</w:t>
            </w:r>
            <w:r>
              <w:rPr>
                <w:rFonts w:hint="default" w:ascii="Times New Roman" w:hAnsi="Times New Roman" w:cs="Times New Roman"/>
                <w:bCs/>
                <w:sz w:val="20"/>
                <w:szCs w:val="20"/>
                <w:lang w:eastAsia="zh-CN"/>
              </w:rPr>
              <w:t xml:space="preserve"> fully specified test decoder and the reference encoder is under discussion (it is agreed to have a fully specified reference encoder) </w:t>
            </w:r>
          </w:p>
          <w:p w14:paraId="5C0DC88D">
            <w:pPr>
              <w:rPr>
                <w:rFonts w:hint="default" w:ascii="Times New Roman" w:hAnsi="Times New Roman" w:cs="Times New Roman"/>
                <w:bCs/>
                <w:sz w:val="20"/>
                <w:szCs w:val="20"/>
                <w:lang w:eastAsia="zh-CN"/>
              </w:rPr>
            </w:pPr>
            <w:r>
              <w:rPr>
                <w:rFonts w:hint="default" w:ascii="Times New Roman" w:hAnsi="Times New Roman" w:cs="Times New Roman"/>
                <w:b/>
                <w:sz w:val="20"/>
                <w:szCs w:val="20"/>
                <w:lang w:eastAsia="zh-CN"/>
              </w:rPr>
              <w:t>Direction A 3a-1 in RAN1:</w:t>
            </w:r>
            <w:r>
              <w:rPr>
                <w:rFonts w:hint="default" w:ascii="Times New Roman" w:hAnsi="Times New Roman" w:cs="Times New Roman"/>
                <w:bCs/>
                <w:sz w:val="20"/>
                <w:szCs w:val="20"/>
                <w:lang w:eastAsia="zh-CN"/>
              </w:rPr>
              <w:t xml:space="preserve"> specify the reference encoder structure. Presumably, NW will send the parameters to the UE.</w:t>
            </w:r>
          </w:p>
          <w:p w14:paraId="222D7B4C">
            <w:pPr>
              <w:rPr>
                <w:rFonts w:hint="default" w:ascii="Times New Roman" w:hAnsi="Times New Roman" w:cs="Times New Roman"/>
                <w:bCs/>
                <w:sz w:val="20"/>
                <w:szCs w:val="20"/>
                <w:lang w:eastAsia="zh-CN"/>
              </w:rPr>
            </w:pPr>
          </w:p>
          <w:p w14:paraId="39F4CFA8">
            <w:pPr>
              <w:rPr>
                <w:rFonts w:hint="default" w:ascii="Times New Roman" w:hAnsi="Times New Roman" w:cs="Times New Roman"/>
                <w:bCs/>
                <w:sz w:val="20"/>
                <w:szCs w:val="20"/>
                <w:u w:val="single"/>
                <w:lang w:eastAsia="zh-CN"/>
              </w:rPr>
            </w:pPr>
            <w:r>
              <w:rPr>
                <w:rFonts w:hint="default" w:ascii="Times New Roman" w:hAnsi="Times New Roman" w:cs="Times New Roman"/>
                <w:bCs/>
                <w:sz w:val="20"/>
                <w:szCs w:val="20"/>
                <w:u w:val="single"/>
                <w:lang w:eastAsia="zh-CN"/>
              </w:rPr>
              <w:t>Relation between RAN1 and RAN4:</w:t>
            </w:r>
          </w:p>
          <w:p w14:paraId="6EEB57B4">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The test decoder of option 3 is the same as the reference decoder of direction C</w:t>
            </w:r>
          </w:p>
          <w:p w14:paraId="356DF6C3">
            <w:pPr>
              <w:pStyle w:val="13"/>
              <w:numPr>
                <w:ilvl w:val="0"/>
                <w:numId w:val="6"/>
              </w:numPr>
              <w:ind w:firstLineChars="0"/>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Test decoder of option 3 will be specified by RAN4</w:t>
            </w:r>
          </w:p>
          <w:p w14:paraId="56A0631E">
            <w:pPr>
              <w:pStyle w:val="13"/>
              <w:numPr>
                <w:ilvl w:val="0"/>
                <w:numId w:val="6"/>
              </w:numPr>
              <w:ind w:firstLineChars="0"/>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 xml:space="preserve">If RAN1 develops the reference decoder for direction C which is different from RAN4’s, further discussion across RAN4 and RAN1 is needed. </w:t>
            </w:r>
          </w:p>
          <w:p w14:paraId="62074C4A">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The reference encoder is the same for both option 3 and direction C</w:t>
            </w:r>
          </w:p>
          <w:p w14:paraId="55568A5E">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The option 3 reference encoder structure is the same as the encoder structure for direction A option 3a-1.</w:t>
            </w:r>
          </w:p>
          <w:p w14:paraId="7B10A478">
            <w:pPr>
              <w:pStyle w:val="13"/>
              <w:numPr>
                <w:ilvl w:val="0"/>
                <w:numId w:val="7"/>
              </w:numPr>
              <w:ind w:firstLineChars="0"/>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Reference encoder of option 3 will be specified in RAN4.</w:t>
            </w:r>
          </w:p>
          <w:p w14:paraId="3F880B3A">
            <w:pPr>
              <w:rPr>
                <w:rFonts w:hint="default" w:ascii="Times New Roman" w:hAnsi="Times New Roman" w:cs="Times New Roman"/>
                <w:bCs/>
                <w:sz w:val="20"/>
                <w:szCs w:val="20"/>
                <w:lang w:eastAsia="zh-CN"/>
              </w:rPr>
            </w:pPr>
          </w:p>
          <w:p w14:paraId="3DC3A187">
            <w:pPr>
              <w:rPr>
                <w:rFonts w:hint="default" w:ascii="Times New Roman" w:hAnsi="Times New Roman" w:cs="Times New Roman"/>
                <w:bCs/>
                <w:sz w:val="20"/>
                <w:szCs w:val="20"/>
                <w:u w:val="single"/>
                <w:lang w:eastAsia="zh-CN"/>
              </w:rPr>
            </w:pPr>
            <w:r>
              <w:rPr>
                <w:rFonts w:hint="default" w:ascii="Times New Roman" w:hAnsi="Times New Roman" w:cs="Times New Roman"/>
                <w:bCs/>
                <w:sz w:val="20"/>
                <w:szCs w:val="20"/>
                <w:u w:val="single"/>
                <w:lang w:eastAsia="zh-CN"/>
              </w:rPr>
              <w:t>How to respond to the RAN checkpoint</w:t>
            </w:r>
          </w:p>
          <w:p w14:paraId="0B2F0824">
            <w:pPr>
              <w:rPr>
                <w:rFonts w:hint="default" w:ascii="Times New Roman" w:hAnsi="Times New Roman" w:cs="Times New Roman"/>
                <w:bCs/>
                <w:sz w:val="20"/>
                <w:szCs w:val="20"/>
                <w:lang w:eastAsia="zh-CN"/>
              </w:rPr>
            </w:pPr>
          </w:p>
          <w:p w14:paraId="2657F2EB">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Option 3 is feasible for RAN4 to complete. RAN4 will take into account the conclusions in RAN1 on scalability in order to create a scalable model.</w:t>
            </w:r>
          </w:p>
          <w:p w14:paraId="170EF0CC">
            <w:pPr>
              <w:pStyle w:val="13"/>
              <w:numPr>
                <w:ilvl w:val="0"/>
                <w:numId w:val="7"/>
              </w:numPr>
              <w:ind w:firstLineChars="0"/>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33388A44">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 xml:space="preserve">Direction A 3a-1 is feasible for RAN4 to complete from reference encoder perspective. </w:t>
            </w:r>
          </w:p>
          <w:p w14:paraId="1B1D2979">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FFS on detailed steps to develop the model</w:t>
            </w:r>
          </w:p>
          <w:p w14:paraId="1DE65803">
            <w:pPr>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t>
            </w:r>
            <w:r>
              <w:rPr>
                <w:rFonts w:hint="default" w:ascii="Times New Roman" w:hAnsi="Times New Roman" w:cs="Times New Roman"/>
                <w:bCs/>
                <w:sz w:val="20"/>
                <w:szCs w:val="20"/>
                <w:lang w:eastAsia="zh-CN"/>
              </w:rPr>
              <w:tab/>
            </w:r>
            <w:r>
              <w:rPr>
                <w:rFonts w:hint="default" w:ascii="Times New Roman" w:hAnsi="Times New Roman" w:cs="Times New Roman"/>
                <w:bCs/>
                <w:sz w:val="20"/>
                <w:szCs w:val="20"/>
                <w:lang w:eastAsia="zh-CN"/>
              </w:rPr>
              <w:t>RAN4 will send LS on RAN4’s agreement regarding the RAN checkpoint.</w:t>
            </w:r>
          </w:p>
          <w:p w14:paraId="678CAD9D">
            <w:pPr>
              <w:spacing w:after="180" w:line="240" w:lineRule="exact"/>
              <w:rPr>
                <w:rFonts w:hint="default" w:ascii="Times New Roman" w:hAnsi="Times New Roman" w:cs="Times New Roman"/>
                <w:bCs/>
                <w:sz w:val="20"/>
                <w:szCs w:val="20"/>
                <w:vertAlign w:val="baseline"/>
                <w:lang w:val="en-US" w:eastAsia="zh-CN"/>
              </w:rPr>
            </w:pPr>
          </w:p>
        </w:tc>
      </w:tr>
    </w:tbl>
    <w:p w14:paraId="7E59401E">
      <w:pPr>
        <w:spacing w:after="180" w:line="240" w:lineRule="exact"/>
        <w:rPr>
          <w:rFonts w:hint="eastAsia" w:ascii="Times New Roman" w:hAnsi="Times New Roman" w:cs="Times New Roman"/>
          <w:bCs/>
          <w:sz w:val="20"/>
          <w:szCs w:val="20"/>
          <w:lang w:val="en-US" w:eastAsia="zh-CN"/>
        </w:rPr>
      </w:pPr>
    </w:p>
    <w:p w14:paraId="535F4D8B">
      <w:pPr>
        <w:spacing w:after="180" w:line="240" w:lineRule="exact"/>
        <w:rPr>
          <w:rFonts w:hint="default" w:ascii="Times New Roman" w:hAnsi="Times New Roman" w:cs="Times New Roman"/>
          <w:sz w:val="20"/>
          <w:szCs w:val="20"/>
          <w:u w:val="none"/>
          <w:lang w:val="en-US" w:eastAsia="zh-CN"/>
        </w:rPr>
      </w:pPr>
      <w:r>
        <w:rPr>
          <w:rFonts w:hint="default" w:ascii="Times New Roman" w:hAnsi="Times New Roman" w:cs="Times New Roman"/>
          <w:bCs/>
          <w:sz w:val="20"/>
          <w:szCs w:val="20"/>
          <w:u w:val="none"/>
          <w:lang w:val="en-US" w:eastAsia="zh-CN"/>
        </w:rPr>
        <w:t>The s</w:t>
      </w:r>
      <w:r>
        <w:rPr>
          <w:rFonts w:hint="default" w:ascii="Times New Roman" w:hAnsi="Times New Roman" w:cs="Times New Roman"/>
          <w:sz w:val="20"/>
          <w:szCs w:val="20"/>
          <w:u w:val="none"/>
          <w:lang w:eastAsia="zh-CN"/>
        </w:rPr>
        <w:t>teps to develop the test decoder and reference encoder</w:t>
      </w:r>
      <w:r>
        <w:rPr>
          <w:rFonts w:hint="default" w:ascii="Times New Roman" w:hAnsi="Times New Roman" w:cs="Times New Roman"/>
          <w:sz w:val="20"/>
          <w:szCs w:val="20"/>
          <w:u w:val="none"/>
          <w:lang w:val="en-US" w:eastAsia="zh-CN"/>
        </w:rPr>
        <w:t xml:space="preserve"> are agreed as following:</w:t>
      </w:r>
    </w:p>
    <w:p w14:paraId="528A3035">
      <w:pPr>
        <w:pStyle w:val="13"/>
        <w:numPr>
          <w:ilvl w:val="0"/>
          <w:numId w:val="8"/>
        </w:numPr>
        <w:spacing w:before="120" w:after="120"/>
        <w:ind w:firstLineChars="0"/>
        <w:rPr>
          <w:rFonts w:hint="default" w:ascii="Times New Roman" w:hAnsi="Times New Roman" w:eastAsia="宋体" w:cs="Times New Roman"/>
          <w:sz w:val="20"/>
          <w:szCs w:val="20"/>
        </w:rPr>
      </w:pPr>
      <w:r>
        <w:rPr>
          <w:rFonts w:hint="default" w:ascii="Times New Roman" w:hAnsi="Times New Roman" w:cs="Times New Roman"/>
          <w:sz w:val="20"/>
          <w:szCs w:val="20"/>
        </w:rPr>
        <w:t>Step 1:  Create dataset</w:t>
      </w:r>
    </w:p>
    <w:p w14:paraId="1A683E2B">
      <w:pPr>
        <w:pStyle w:val="13"/>
        <w:numPr>
          <w:ilvl w:val="1"/>
          <w:numId w:val="8"/>
        </w:numPr>
        <w:spacing w:before="120" w:after="120"/>
        <w:ind w:firstLineChars="0"/>
        <w:rPr>
          <w:rFonts w:hint="default" w:ascii="Times New Roman" w:hAnsi="Times New Roman" w:eastAsia="宋体" w:cs="Times New Roman"/>
          <w:sz w:val="20"/>
          <w:szCs w:val="20"/>
        </w:rPr>
      </w:pPr>
      <w:r>
        <w:rPr>
          <w:rFonts w:hint="default" w:ascii="Times New Roman" w:hAnsi="Times New Roman" w:eastAsia="Yu Mincho" w:cs="Times New Roman"/>
          <w:sz w:val="20"/>
          <w:szCs w:val="20"/>
        </w:rPr>
        <w:t>Step 1-1: Align on configurations for mixed dataset construction, taking factors such as scalability over Tx port number and subband size and payload size into account</w:t>
      </w:r>
    </w:p>
    <w:p w14:paraId="2C25B417">
      <w:pPr>
        <w:pStyle w:val="13"/>
        <w:numPr>
          <w:ilvl w:val="1"/>
          <w:numId w:val="8"/>
        </w:numPr>
        <w:spacing w:before="120" w:after="120"/>
        <w:ind w:firstLineChars="0"/>
        <w:rPr>
          <w:rFonts w:hint="default" w:ascii="Times New Roman" w:hAnsi="Times New Roman" w:eastAsia="宋体" w:cs="Times New Roman"/>
          <w:sz w:val="20"/>
          <w:szCs w:val="20"/>
        </w:rPr>
      </w:pPr>
      <w:r>
        <w:rPr>
          <w:rFonts w:hint="default" w:ascii="Times New Roman" w:hAnsi="Times New Roman" w:eastAsia="Yu Mincho" w:cs="Times New Roman"/>
          <w:sz w:val="20"/>
          <w:szCs w:val="20"/>
        </w:rPr>
        <w:t>Step 1-2 Decide how align and on which metrics can be used for evaluating dataset alignment, if any</w:t>
      </w:r>
    </w:p>
    <w:p w14:paraId="3D7AA03C">
      <w:pPr>
        <w:pStyle w:val="13"/>
        <w:numPr>
          <w:ilvl w:val="1"/>
          <w:numId w:val="8"/>
        </w:numPr>
        <w:spacing w:before="120" w:after="120"/>
        <w:ind w:firstLineChars="0"/>
        <w:rPr>
          <w:rFonts w:hint="default" w:ascii="Times New Roman" w:hAnsi="Times New Roman" w:eastAsia="宋体" w:cs="Times New Roman"/>
          <w:sz w:val="20"/>
          <w:szCs w:val="20"/>
        </w:rPr>
      </w:pPr>
      <w:r>
        <w:rPr>
          <w:rFonts w:hint="default" w:ascii="Times New Roman" w:hAnsi="Times New Roman" w:eastAsia="Yu Mincho" w:cs="Times New Roman"/>
          <w:sz w:val="20"/>
          <w:szCs w:val="20"/>
        </w:rPr>
        <w:t>Step 1-3 Companies create datasets</w:t>
      </w:r>
    </w:p>
    <w:p w14:paraId="2461FB62">
      <w:pPr>
        <w:pStyle w:val="13"/>
        <w:numPr>
          <w:ilvl w:val="1"/>
          <w:numId w:val="8"/>
        </w:numPr>
        <w:spacing w:before="120"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Step 1-4 Identify which company datasets to include in the mixed dataset(s)</w:t>
      </w:r>
    </w:p>
    <w:p w14:paraId="5DF5B36B">
      <w:pPr>
        <w:pStyle w:val="13"/>
        <w:numPr>
          <w:ilvl w:val="1"/>
          <w:numId w:val="8"/>
        </w:numPr>
        <w:spacing w:before="120" w:after="120"/>
        <w:ind w:firstLineChars="0"/>
        <w:rPr>
          <w:rFonts w:hint="default" w:ascii="Times New Roman" w:hAnsi="Times New Roman" w:eastAsia="宋体" w:cs="Times New Roman"/>
          <w:sz w:val="20"/>
          <w:szCs w:val="20"/>
        </w:rPr>
      </w:pPr>
      <w:r>
        <w:rPr>
          <w:rFonts w:hint="default" w:ascii="Times New Roman" w:hAnsi="Times New Roman" w:eastAsia="Yu Mincho" w:cs="Times New Roman"/>
          <w:sz w:val="20"/>
          <w:szCs w:val="20"/>
        </w:rPr>
        <w:t>Step 1-5 Create new dataset(s)</w:t>
      </w:r>
    </w:p>
    <w:p w14:paraId="35F10163">
      <w:pPr>
        <w:pStyle w:val="13"/>
        <w:numPr>
          <w:ilvl w:val="0"/>
          <w:numId w:val="8"/>
        </w:numPr>
        <w:spacing w:before="120" w:after="120"/>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Step 2: Align on the model backbone, model hyperparameters and the scalability solution. </w:t>
      </w:r>
    </w:p>
    <w:p w14:paraId="79CF13EB">
      <w:pPr>
        <w:pStyle w:val="13"/>
        <w:numPr>
          <w:ilvl w:val="1"/>
          <w:numId w:val="8"/>
        </w:numPr>
        <w:spacing w:before="120" w:after="120"/>
        <w:ind w:firstLineChars="0"/>
        <w:rPr>
          <w:rFonts w:hint="default" w:ascii="Times New Roman" w:hAnsi="Times New Roman" w:eastAsia="宋体" w:cs="Times New Roman"/>
          <w:sz w:val="20"/>
          <w:szCs w:val="20"/>
        </w:rPr>
      </w:pPr>
      <w:r>
        <w:rPr>
          <w:rFonts w:hint="default" w:ascii="Times New Roman" w:hAnsi="Times New Roman" w:cs="Times New Roman"/>
          <w:sz w:val="20"/>
          <w:szCs w:val="20"/>
        </w:rPr>
        <w:t xml:space="preserve">Step 2-1: Proposed model structures (model backbone and model hyperparameters) are brought by companies, as well as proposed scalability solution. </w:t>
      </w:r>
    </w:p>
    <w:p w14:paraId="183C2039">
      <w:pPr>
        <w:pStyle w:val="13"/>
        <w:numPr>
          <w:ilvl w:val="2"/>
          <w:numId w:val="8"/>
        </w:numPr>
        <w:spacing w:before="120" w:after="120"/>
        <w:ind w:firstLineChars="0"/>
        <w:rPr>
          <w:rFonts w:hint="default" w:ascii="Times New Roman" w:hAnsi="Times New Roman" w:eastAsia="宋体" w:cs="Times New Roman"/>
          <w:sz w:val="20"/>
          <w:szCs w:val="20"/>
        </w:rPr>
      </w:pPr>
      <w:r>
        <w:rPr>
          <w:rFonts w:hint="default" w:ascii="Times New Roman" w:hAnsi="Times New Roman" w:cs="Times New Roman"/>
          <w:sz w:val="20"/>
          <w:szCs w:val="20"/>
        </w:rPr>
        <w:t xml:space="preserve">This can be in parallel with step 1. </w:t>
      </w:r>
    </w:p>
    <w:p w14:paraId="55ACFC4E">
      <w:pPr>
        <w:pStyle w:val="13"/>
        <w:numPr>
          <w:ilvl w:val="2"/>
          <w:numId w:val="8"/>
        </w:numPr>
        <w:spacing w:before="120" w:after="120"/>
        <w:ind w:firstLineChars="0"/>
        <w:rPr>
          <w:rFonts w:hint="default" w:ascii="Times New Roman" w:hAnsi="Times New Roman" w:eastAsia="宋体" w:cs="Times New Roman"/>
          <w:sz w:val="20"/>
          <w:szCs w:val="20"/>
        </w:rPr>
      </w:pPr>
      <w:r>
        <w:rPr>
          <w:rFonts w:hint="default" w:ascii="Times New Roman" w:hAnsi="Times New Roman" w:cs="Times New Roman"/>
          <w:sz w:val="20"/>
          <w:szCs w:val="20"/>
        </w:rPr>
        <w:t>Transformer is agreed as baseline for backbone</w:t>
      </w:r>
    </w:p>
    <w:p w14:paraId="68580EC1">
      <w:pPr>
        <w:pStyle w:val="13"/>
        <w:numPr>
          <w:ilvl w:val="2"/>
          <w:numId w:val="8"/>
        </w:numPr>
        <w:spacing w:before="120" w:after="120"/>
        <w:ind w:firstLineChars="0"/>
        <w:rPr>
          <w:rFonts w:hint="default" w:ascii="Times New Roman" w:hAnsi="Times New Roman" w:eastAsia="宋体" w:cs="Times New Roman"/>
          <w:sz w:val="20"/>
          <w:szCs w:val="20"/>
        </w:rPr>
      </w:pPr>
      <w:r>
        <w:rPr>
          <w:rFonts w:hint="default" w:ascii="Times New Roman" w:hAnsi="Times New Roman" w:cs="Times New Roman"/>
          <w:sz w:val="20"/>
          <w:szCs w:val="20"/>
        </w:rPr>
        <w:t>Same backbone for test decoder and reference encoder</w:t>
      </w:r>
    </w:p>
    <w:p w14:paraId="153AFAD3">
      <w:pPr>
        <w:pStyle w:val="13"/>
        <w:numPr>
          <w:ilvl w:val="1"/>
          <w:numId w:val="8"/>
        </w:numPr>
        <w:spacing w:before="120" w:after="120"/>
        <w:ind w:firstLineChars="0"/>
        <w:rPr>
          <w:rFonts w:hint="default" w:ascii="Times New Roman" w:hAnsi="Times New Roman" w:cs="Times New Roman"/>
          <w:sz w:val="20"/>
          <w:szCs w:val="20"/>
        </w:rPr>
      </w:pPr>
      <w:r>
        <w:rPr>
          <w:rFonts w:hint="default" w:ascii="Times New Roman" w:hAnsi="Times New Roman" w:cs="Times New Roman"/>
          <w:sz w:val="20"/>
          <w:szCs w:val="20"/>
        </w:rPr>
        <w:t>Step 2-2: Preliminary selection of structures, taking into account complexity</w:t>
      </w:r>
    </w:p>
    <w:p w14:paraId="12B53C09">
      <w:pPr>
        <w:pStyle w:val="13"/>
        <w:numPr>
          <w:ilvl w:val="1"/>
          <w:numId w:val="8"/>
        </w:numPr>
        <w:spacing w:before="120" w:after="120"/>
        <w:ind w:firstLineChars="0"/>
        <w:rPr>
          <w:rFonts w:hint="default" w:ascii="Times New Roman" w:hAnsi="Times New Roman" w:cs="Times New Roman"/>
          <w:sz w:val="20"/>
          <w:szCs w:val="20"/>
        </w:rPr>
      </w:pPr>
      <w:r>
        <w:rPr>
          <w:rFonts w:hint="default" w:ascii="Times New Roman" w:hAnsi="Times New Roman" w:cs="Times New Roman"/>
          <w:sz w:val="20"/>
          <w:szCs w:val="20"/>
        </w:rPr>
        <w:t>[Step 2-2a Align on training parameters]</w:t>
      </w:r>
    </w:p>
    <w:p w14:paraId="4DCCCE68">
      <w:pPr>
        <w:pStyle w:val="13"/>
        <w:numPr>
          <w:ilvl w:val="1"/>
          <w:numId w:val="8"/>
        </w:numPr>
        <w:spacing w:before="120" w:after="120"/>
        <w:ind w:firstLineChars="0"/>
        <w:rPr>
          <w:rFonts w:hint="default" w:ascii="Times New Roman" w:hAnsi="Times New Roman" w:cs="Times New Roman"/>
          <w:sz w:val="20"/>
          <w:szCs w:val="20"/>
        </w:rPr>
      </w:pPr>
      <w:r>
        <w:rPr>
          <w:rFonts w:hint="default" w:ascii="Times New Roman" w:hAnsi="Times New Roman" w:cs="Times New Roman"/>
          <w:sz w:val="20"/>
          <w:szCs w:val="20"/>
        </w:rPr>
        <w:t>Step 2-3: Agree on metrics and steps for evaluation</w:t>
      </w:r>
    </w:p>
    <w:p w14:paraId="45173AE8">
      <w:pPr>
        <w:pStyle w:val="13"/>
        <w:numPr>
          <w:ilvl w:val="1"/>
          <w:numId w:val="8"/>
        </w:numPr>
        <w:spacing w:before="120" w:after="120"/>
        <w:ind w:firstLineChars="0"/>
        <w:rPr>
          <w:rFonts w:hint="default" w:ascii="Times New Roman" w:hAnsi="Times New Roman" w:cs="Times New Roman"/>
          <w:sz w:val="20"/>
          <w:szCs w:val="20"/>
        </w:rPr>
      </w:pPr>
      <w:r>
        <w:rPr>
          <w:rFonts w:hint="default" w:ascii="Times New Roman" w:hAnsi="Times New Roman" w:cs="Times New Roman"/>
          <w:sz w:val="20"/>
          <w:szCs w:val="20"/>
        </w:rPr>
        <w:t>Step 2-4: Check on performance alignment -&gt; see simulation results from contributing companies.</w:t>
      </w:r>
    </w:p>
    <w:p w14:paraId="273BA8EE">
      <w:pPr>
        <w:pStyle w:val="13"/>
        <w:numPr>
          <w:ilvl w:val="1"/>
          <w:numId w:val="8"/>
        </w:numPr>
        <w:spacing w:before="120" w:after="120"/>
        <w:ind w:firstLineChars="0"/>
        <w:rPr>
          <w:rFonts w:hint="default" w:ascii="Times New Roman" w:hAnsi="Times New Roman" w:cs="Times New Roman"/>
          <w:sz w:val="20"/>
          <w:szCs w:val="20"/>
        </w:rPr>
      </w:pPr>
      <w:r>
        <w:rPr>
          <w:rFonts w:hint="default" w:ascii="Times New Roman" w:hAnsi="Times New Roman" w:cs="Times New Roman"/>
          <w:sz w:val="20"/>
          <w:szCs w:val="20"/>
        </w:rPr>
        <w:t>Step 2-5: Share models (encoder or decoder or both)/datasets (training/testing/inference), if needed.</w:t>
      </w:r>
    </w:p>
    <w:p w14:paraId="36CC735A">
      <w:pPr>
        <w:pStyle w:val="13"/>
        <w:numPr>
          <w:ilvl w:val="1"/>
          <w:numId w:val="8"/>
        </w:numPr>
        <w:spacing w:before="120" w:after="120"/>
        <w:ind w:firstLineChars="0"/>
        <w:rPr>
          <w:rFonts w:hint="default" w:ascii="Times New Roman" w:hAnsi="Times New Roman" w:cs="Times New Roman"/>
          <w:sz w:val="20"/>
          <w:szCs w:val="20"/>
        </w:rPr>
      </w:pPr>
      <w:r>
        <w:rPr>
          <w:rFonts w:hint="default" w:ascii="Times New Roman" w:hAnsi="Times New Roman" w:cs="Times New Roman"/>
          <w:sz w:val="20"/>
          <w:szCs w:val="20"/>
        </w:rPr>
        <w:t>Step 2-6: Select one or more model structures considering complexity and robustness and decide how many models.</w:t>
      </w:r>
    </w:p>
    <w:p w14:paraId="5C7202B5">
      <w:pPr>
        <w:pStyle w:val="13"/>
        <w:numPr>
          <w:ilvl w:val="1"/>
          <w:numId w:val="8"/>
        </w:numPr>
        <w:spacing w:before="120" w:after="120"/>
        <w:ind w:firstLineChars="0"/>
        <w:rPr>
          <w:rFonts w:hint="default" w:ascii="Times New Roman" w:hAnsi="Times New Roman" w:eastAsia="宋体" w:cs="Times New Roman"/>
          <w:sz w:val="20"/>
          <w:szCs w:val="20"/>
        </w:rPr>
      </w:pPr>
      <w:r>
        <w:rPr>
          <w:rFonts w:hint="default" w:ascii="Times New Roman" w:hAnsi="Times New Roman" w:cs="Times New Roman"/>
          <w:sz w:val="20"/>
          <w:szCs w:val="20"/>
        </w:rPr>
        <w:t>Step 2-7: Select one or more scalability solutions. This step can be done in parallel with Steps 2-2 to 2-4.</w:t>
      </w:r>
    </w:p>
    <w:p w14:paraId="1CDED0BE">
      <w:pPr>
        <w:pStyle w:val="13"/>
        <w:numPr>
          <w:ilvl w:val="0"/>
          <w:numId w:val="8"/>
        </w:numPr>
        <w:spacing w:before="120" w:after="120"/>
        <w:ind w:firstLineChars="0"/>
        <w:rPr>
          <w:rFonts w:hint="default" w:ascii="Times New Roman" w:hAnsi="Times New Roman" w:eastAsia="宋体" w:cs="Times New Roman"/>
          <w:sz w:val="20"/>
          <w:szCs w:val="20"/>
        </w:rPr>
      </w:pPr>
      <w:r>
        <w:rPr>
          <w:rFonts w:hint="default" w:ascii="Times New Roman" w:hAnsi="Times New Roman" w:cs="Times New Roman"/>
          <w:sz w:val="20"/>
          <w:szCs w:val="20"/>
        </w:rPr>
        <w:t>Step 3: Specify the model for the following work in WID. Where and how to specify may need further discussion.</w:t>
      </w:r>
    </w:p>
    <w:p w14:paraId="2AFACD96">
      <w:pPr>
        <w:pStyle w:val="13"/>
        <w:spacing w:before="120" w:after="120"/>
        <w:ind w:left="936" w:firstLine="0" w:firstLineChars="0"/>
        <w:rPr>
          <w:rFonts w:hint="default" w:ascii="Times New Roman" w:hAnsi="Times New Roman" w:eastAsia="宋体" w:cs="Times New Roman"/>
          <w:sz w:val="20"/>
          <w:szCs w:val="20"/>
        </w:rPr>
      </w:pPr>
      <w:r>
        <w:rPr>
          <w:rFonts w:hint="default" w:ascii="Times New Roman" w:hAnsi="Times New Roman" w:cs="Times New Roman"/>
          <w:sz w:val="20"/>
          <w:szCs w:val="20"/>
        </w:rPr>
        <w:t>Note: At this stage, models using the agreed structures, dataset, scalability have already been created by most companies</w:t>
      </w:r>
    </w:p>
    <w:p w14:paraId="72ADAEAF">
      <w:pPr>
        <w:pStyle w:val="13"/>
        <w:numPr>
          <w:ilvl w:val="1"/>
          <w:numId w:val="8"/>
        </w:numPr>
        <w:spacing w:before="120" w:after="120"/>
        <w:ind w:firstLineChars="0"/>
        <w:rPr>
          <w:rFonts w:hint="default" w:ascii="Times New Roman" w:hAnsi="Times New Roman" w:cs="Times New Roman"/>
          <w:sz w:val="20"/>
          <w:szCs w:val="20"/>
        </w:rPr>
      </w:pPr>
      <w:r>
        <w:rPr>
          <w:rFonts w:hint="default" w:ascii="Times New Roman" w:hAnsi="Times New Roman" w:cs="Times New Roman"/>
          <w:sz w:val="20"/>
          <w:szCs w:val="20"/>
        </w:rPr>
        <w:t>Step 3-1 Decide how to select from the trained model(s) from each company</w:t>
      </w:r>
    </w:p>
    <w:p w14:paraId="0C135C73">
      <w:pPr>
        <w:pStyle w:val="13"/>
        <w:numPr>
          <w:ilvl w:val="1"/>
          <w:numId w:val="8"/>
        </w:numPr>
        <w:spacing w:before="120" w:after="120"/>
        <w:ind w:firstLineChars="0"/>
        <w:rPr>
          <w:rFonts w:hint="default" w:ascii="Times New Roman" w:hAnsi="Times New Roman" w:cs="Times New Roman"/>
          <w:sz w:val="20"/>
          <w:szCs w:val="20"/>
        </w:rPr>
      </w:pPr>
      <w:r>
        <w:rPr>
          <w:rFonts w:hint="default" w:ascii="Times New Roman" w:hAnsi="Times New Roman" w:cs="Times New Roman"/>
          <w:sz w:val="20"/>
          <w:szCs w:val="20"/>
        </w:rPr>
        <w:t>Step 3-2: Freeze model(s)</w:t>
      </w:r>
    </w:p>
    <w:p w14:paraId="5DCE5868">
      <w:pPr>
        <w:pStyle w:val="13"/>
        <w:numPr>
          <w:ilvl w:val="1"/>
          <w:numId w:val="8"/>
        </w:numPr>
        <w:spacing w:before="120" w:after="120"/>
        <w:ind w:firstLineChars="0"/>
        <w:rPr>
          <w:rFonts w:hint="default" w:ascii="Times New Roman" w:hAnsi="Times New Roman" w:cs="Times New Roman"/>
          <w:sz w:val="20"/>
          <w:szCs w:val="20"/>
        </w:rPr>
      </w:pPr>
      <w:r>
        <w:rPr>
          <w:rFonts w:hint="default" w:ascii="Times New Roman" w:hAnsi="Times New Roman" w:cs="Times New Roman"/>
          <w:sz w:val="20"/>
          <w:szCs w:val="20"/>
        </w:rPr>
        <w:t>Step 3-3: Agree on how and where to capture the models, the dataset and relevant information</w:t>
      </w:r>
    </w:p>
    <w:p w14:paraId="568F41DB">
      <w:pPr>
        <w:spacing w:after="180" w:line="240" w:lineRule="exact"/>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In last meeting, it was agreed that transformer is assumed as the baseline and only Quantized parameters are specified. According to the steps to develop the test decoder and reference encoder, step 2 is to align the model backbone, model hyperparameters and the scalability solution. In our view, RAN1 agreements on transformer can be used as baseline.</w:t>
      </w:r>
    </w:p>
    <w:p w14:paraId="76018318">
      <w:pPr>
        <w:spacing w:after="180" w:line="240" w:lineRule="exact"/>
        <w:rPr>
          <w:rFonts w:hint="default" w:ascii="Times New Roman" w:hAnsi="Times New Roman" w:cs="Times New Roman"/>
          <w:sz w:val="20"/>
          <w:szCs w:val="20"/>
        </w:rPr>
      </w:pPr>
      <w:r>
        <w:rPr>
          <w:rFonts w:hint="eastAsia" w:ascii="Times New Roman" w:hAnsi="Times New Roman" w:eastAsia="等线"/>
          <w:bCs/>
          <w:iCs/>
          <w:sz w:val="20"/>
          <w:szCs w:val="20"/>
          <w:lang w:val="en-US" w:eastAsia="zh-CN"/>
        </w:rPr>
        <w:t xml:space="preserve">In RAN1 #119 meeting, it was agreed to adopt Transformer as the backbone structure for temporal domain Case 0 in case of take precoding matrix in the spatial-frequency domain in a subband granularity as the input, and the reconstructed precoding matrix in the spatial-frequency as the output. Following Figure is the </w:t>
      </w:r>
      <w:r>
        <w:rPr>
          <w:rFonts w:hint="default" w:ascii="Times New Roman" w:hAnsi="Times New Roman" w:cs="Times New Roman"/>
          <w:sz w:val="20"/>
          <w:szCs w:val="20"/>
        </w:rPr>
        <w:t>encoder structure</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 xml:space="preserve">considered </w:t>
      </w:r>
      <w:r>
        <w:rPr>
          <w:rFonts w:hint="eastAsia" w:ascii="Times New Roman" w:hAnsi="Times New Roman" w:cs="Times New Roman"/>
          <w:sz w:val="20"/>
          <w:szCs w:val="20"/>
          <w:lang w:val="en-US" w:eastAsia="zh-CN"/>
        </w:rPr>
        <w:t xml:space="preserve">in RAN1 </w:t>
      </w:r>
      <w:r>
        <w:rPr>
          <w:rFonts w:hint="default" w:ascii="Times New Roman" w:hAnsi="Times New Roman" w:cs="Times New Roman"/>
          <w:sz w:val="20"/>
          <w:szCs w:val="20"/>
        </w:rPr>
        <w:t>as the example in the study for Case 0 and taking spatial-frequency domain precoding matrix as input.</w:t>
      </w:r>
    </w:p>
    <w:p w14:paraId="330F188B">
      <w:pPr>
        <w:pStyle w:val="16"/>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0" distR="0">
            <wp:extent cx="5944235" cy="3609340"/>
            <wp:effectExtent l="0" t="0" r="12065" b="10160"/>
            <wp:docPr id="1494025568" name="Picture 5" descr="A screenshot of a computer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025568" name="Picture 5" descr="A screenshot of a computer diagram&#10;&#10;AI-generated content may be incorrect."/>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5944235" cy="3609340"/>
                    </a:xfrm>
                    <a:prstGeom prst="rect">
                      <a:avLst/>
                    </a:prstGeom>
                    <a:noFill/>
                  </pic:spPr>
                </pic:pic>
              </a:graphicData>
            </a:graphic>
          </wp:inline>
        </w:drawing>
      </w:r>
    </w:p>
    <w:p w14:paraId="652D6AD4">
      <w:pPr>
        <w:pStyle w:val="24"/>
        <w:overflowPunct w:val="0"/>
        <w:autoSpaceDE w:val="0"/>
        <w:autoSpaceDN w:val="0"/>
        <w:adjustRightInd w:val="0"/>
        <w:ind w:left="216" w:leftChars="90"/>
        <w:textAlignment w:val="baseline"/>
        <w:rPr>
          <w:rFonts w:hint="eastAsia" w:ascii="Times New Roman" w:hAnsi="Times New Roman" w:eastAsia="宋体" w:cs="Times New Roman"/>
          <w:sz w:val="20"/>
          <w:szCs w:val="20"/>
          <w:lang w:val="en-US" w:eastAsia="zh-CN"/>
        </w:rPr>
      </w:pPr>
      <w:r>
        <w:rPr>
          <w:rFonts w:hint="default" w:ascii="Times New Roman" w:hAnsi="Times New Roman" w:eastAsia="Times New Roman" w:cs="Times New Roman"/>
          <w:sz w:val="20"/>
          <w:szCs w:val="20"/>
          <w:lang w:eastAsia="ja-JP"/>
        </w:rPr>
        <w:t>Figure</w:t>
      </w:r>
      <w:r>
        <w:rPr>
          <w:rFonts w:hint="default" w:ascii="Times New Roman" w:hAnsi="Times New Roman" w:cs="Times New Roman"/>
          <w:sz w:val="20"/>
          <w:szCs w:val="20"/>
        </w:rPr>
        <w:t xml:space="preserve"> 1: Encoder structure example</w:t>
      </w:r>
      <w:r>
        <w:rPr>
          <w:rFonts w:hint="eastAsia" w:ascii="Times New Roman" w:hAnsi="Times New Roman" w:cs="Times New Roman"/>
          <w:sz w:val="20"/>
          <w:szCs w:val="20"/>
          <w:lang w:val="en-US" w:eastAsia="zh-CN"/>
        </w:rPr>
        <w:t xml:space="preserve"> </w:t>
      </w:r>
    </w:p>
    <w:p w14:paraId="1A683B28">
      <w:pPr>
        <w:rPr>
          <w:rFonts w:hint="default" w:ascii="Times New Roman" w:hAnsi="Times New Roman" w:cs="Times New Roman"/>
          <w:sz w:val="20"/>
          <w:szCs w:val="20"/>
        </w:rPr>
      </w:pPr>
      <w:r>
        <w:rPr>
          <w:rFonts w:hint="default" w:ascii="Times New Roman" w:hAnsi="Times New Roman" w:cs="Times New Roman"/>
          <w:sz w:val="20"/>
          <w:szCs w:val="20"/>
        </w:rPr>
        <w:t xml:space="preserve">Encoder description </w:t>
      </w:r>
      <w:r>
        <w:rPr>
          <w:rFonts w:hint="eastAsia" w:ascii="Times New Roman" w:hAnsi="Times New Roman" w:cs="Times New Roman"/>
          <w:sz w:val="20"/>
          <w:szCs w:val="20"/>
          <w:lang w:val="en-US" w:eastAsia="zh-CN"/>
        </w:rPr>
        <w:t xml:space="preserve">in RAN1 study </w:t>
      </w:r>
      <w:r>
        <w:rPr>
          <w:rFonts w:hint="default" w:ascii="Times New Roman" w:hAnsi="Times New Roman" w:cs="Times New Roman"/>
          <w:sz w:val="20"/>
          <w:szCs w:val="20"/>
        </w:rPr>
        <w:t>is elaborated in Table 1. The decoder has a mirroring design as the encoder.</w:t>
      </w:r>
    </w:p>
    <w:p w14:paraId="2BB235D7">
      <w:pPr>
        <w:pStyle w:val="16"/>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Table 1: Encoder description for CSI feedback using two-sided model</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30"/>
        <w:gridCol w:w="5475"/>
      </w:tblGrid>
      <w:tr w14:paraId="3BF68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3430" w:type="dxa"/>
            <w:shd w:val="clear" w:color="auto" w:fill="D9D9D9"/>
          </w:tcPr>
          <w:p w14:paraId="6EC83771">
            <w:pPr>
              <w:pStyle w:val="17"/>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Domain</w:t>
            </w:r>
          </w:p>
        </w:tc>
        <w:tc>
          <w:tcPr>
            <w:tcW w:w="5475" w:type="dxa"/>
            <w:shd w:val="clear" w:color="auto" w:fill="D9D9D9"/>
          </w:tcPr>
          <w:p w14:paraId="1203EF0D">
            <w:pPr>
              <w:pStyle w:val="17"/>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Parameters</w:t>
            </w:r>
          </w:p>
        </w:tc>
      </w:tr>
      <w:tr w14:paraId="5558B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3430" w:type="dxa"/>
          </w:tcPr>
          <w:p w14:paraId="7BF5CFC7">
            <w:pPr>
              <w:pStyle w:val="19"/>
              <w:widowControl w:val="0"/>
              <w:rPr>
                <w:rFonts w:hint="default" w:ascii="Times New Roman" w:hAnsi="Times New Roman" w:cs="Times New Roman"/>
                <w:sz w:val="20"/>
                <w:szCs w:val="20"/>
              </w:rPr>
            </w:pPr>
            <w:r>
              <w:rPr>
                <w:rFonts w:hint="default" w:ascii="Times New Roman" w:hAnsi="Times New Roman" w:cs="Times New Roman"/>
                <w:sz w:val="20"/>
                <w:szCs w:val="20"/>
              </w:rPr>
              <w:t>Embedding layer</w:t>
            </w:r>
          </w:p>
          <w:p w14:paraId="20310DBD">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(Note: linear embedding in above figure to be revised to Embedding layer)</w:t>
            </w:r>
          </w:p>
        </w:tc>
        <w:tc>
          <w:tcPr>
            <w:tcW w:w="5475" w:type="dxa"/>
          </w:tcPr>
          <w:p w14:paraId="14E8DCA9">
            <w:pPr>
              <w:pStyle w:val="19"/>
              <w:widowControl w:val="0"/>
              <w:rPr>
                <w:rFonts w:hint="default" w:ascii="Times New Roman" w:hAnsi="Times New Roman" w:cs="Times New Roman"/>
                <w:sz w:val="20"/>
                <w:szCs w:val="20"/>
              </w:rPr>
            </w:pPr>
            <w:r>
              <w:rPr>
                <w:rFonts w:hint="default" w:ascii="Times New Roman" w:hAnsi="Times New Roman" w:cs="Times New Roman"/>
                <w:sz w:val="20"/>
                <w:szCs w:val="20"/>
              </w:rPr>
              <w:t>Number of tokens</w:t>
            </w:r>
          </w:p>
          <w:p w14:paraId="4466006F">
            <w:pPr>
              <w:pStyle w:val="19"/>
              <w:widowControl w:val="0"/>
              <w:rPr>
                <w:rFonts w:hint="default" w:ascii="Times New Roman" w:hAnsi="Times New Roman" w:cs="Times New Roman"/>
                <w:sz w:val="20"/>
                <w:szCs w:val="20"/>
              </w:rPr>
            </w:pPr>
            <w:r>
              <w:rPr>
                <w:rFonts w:hint="default" w:ascii="Times New Roman" w:hAnsi="Times New Roman" w:cs="Times New Roman"/>
                <w:sz w:val="20"/>
                <w:szCs w:val="20"/>
              </w:rPr>
              <w:t>Feature dimension of each token</w:t>
            </w:r>
          </w:p>
          <w:p w14:paraId="182B6F47">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Output dimension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d</m:t>
                  </m:r>
                  <m:ctrlPr>
                    <w:rPr>
                      <w:rFonts w:hint="default" w:ascii="Cambria Math" w:hAnsi="Cambria Math" w:cs="Times New Roman"/>
                      <w:i/>
                      <w:sz w:val="20"/>
                      <w:szCs w:val="20"/>
                    </w:rPr>
                  </m:ctrlPr>
                </m:e>
                <m:sub>
                  <m:r>
                    <m:rPr/>
                    <w:rPr>
                      <w:rFonts w:hint="default" w:ascii="Cambria Math" w:hAnsi="Cambria Math" w:cs="Times New Roman"/>
                      <w:sz w:val="20"/>
                      <w:szCs w:val="20"/>
                    </w:rPr>
                    <m:t>model</m:t>
                  </m:r>
                  <m:ctrlPr>
                    <w:rPr>
                      <w:rFonts w:hint="default" w:ascii="Cambria Math" w:hAnsi="Cambria Math" w:cs="Times New Roman"/>
                      <w:i/>
                      <w:sz w:val="20"/>
                      <w:szCs w:val="20"/>
                    </w:rPr>
                  </m:ctrlPr>
                </m:sub>
              </m:sSub>
            </m:oMath>
            <w:r>
              <w:rPr>
                <w:rFonts w:hint="default" w:ascii="Times New Roman" w:hAnsi="Times New Roman" w:cs="Times New Roman"/>
                <w:sz w:val="20"/>
                <w:szCs w:val="20"/>
              </w:rPr>
              <w:t xml:space="preserve"> per token</w:t>
            </w:r>
          </w:p>
        </w:tc>
      </w:tr>
      <w:tr w14:paraId="16A3C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3430" w:type="dxa"/>
          </w:tcPr>
          <w:p w14:paraId="48AAE6A8">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Positional encoding</w:t>
            </w:r>
          </w:p>
        </w:tc>
        <w:tc>
          <w:tcPr>
            <w:tcW w:w="5475" w:type="dxa"/>
          </w:tcPr>
          <w:p w14:paraId="5F5F958B">
            <w:pPr>
              <w:pStyle w:val="19"/>
              <w:widowControl w:val="0"/>
              <w:rPr>
                <w:rFonts w:hint="default" w:ascii="Times New Roman" w:hAnsi="Times New Roman" w:cs="Times New Roman"/>
                <w:sz w:val="20"/>
                <w:szCs w:val="20"/>
              </w:rPr>
            </w:pPr>
            <w:r>
              <w:rPr>
                <w:rFonts w:hint="default" w:ascii="Times New Roman" w:hAnsi="Times New Roman" w:cs="Times New Roman"/>
                <w:sz w:val="20"/>
                <w:szCs w:val="20"/>
              </w:rPr>
              <w:t>Number of tokens positions</w:t>
            </w:r>
          </w:p>
          <w:p w14:paraId="70F8DF84">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Dimension of positional encoding for each token position: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d</m:t>
                  </m:r>
                  <m:ctrlPr>
                    <w:rPr>
                      <w:rFonts w:hint="default" w:ascii="Cambria Math" w:hAnsi="Cambria Math" w:cs="Times New Roman"/>
                      <w:i/>
                      <w:sz w:val="20"/>
                      <w:szCs w:val="20"/>
                    </w:rPr>
                  </m:ctrlPr>
                </m:e>
                <m:sub>
                  <m:r>
                    <m:rPr/>
                    <w:rPr>
                      <w:rFonts w:hint="default" w:ascii="Cambria Math" w:hAnsi="Cambria Math" w:cs="Times New Roman"/>
                      <w:sz w:val="20"/>
                      <w:szCs w:val="20"/>
                    </w:rPr>
                    <m:t>model</m:t>
                  </m:r>
                  <m:ctrlPr>
                    <w:rPr>
                      <w:rFonts w:hint="default" w:ascii="Cambria Math" w:hAnsi="Cambria Math" w:cs="Times New Roman"/>
                      <w:i/>
                      <w:sz w:val="20"/>
                      <w:szCs w:val="20"/>
                    </w:rPr>
                  </m:ctrlPr>
                </m:sub>
              </m:sSub>
            </m:oMath>
          </w:p>
        </w:tc>
      </w:tr>
      <w:tr w14:paraId="797C9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3430" w:type="dxa"/>
          </w:tcPr>
          <w:p w14:paraId="24D52DEF">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Transformer blocks</w:t>
            </w:r>
          </w:p>
        </w:tc>
        <w:tc>
          <w:tcPr>
            <w:tcW w:w="5475" w:type="dxa"/>
          </w:tcPr>
          <w:p w14:paraId="214FE3D2">
            <w:pPr>
              <w:pStyle w:val="19"/>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Number of transformer blocks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TF</m:t>
                  </m:r>
                  <m:ctrlPr>
                    <w:rPr>
                      <w:rFonts w:hint="default" w:ascii="Cambria Math" w:hAnsi="Cambria Math" w:cs="Times New Roman"/>
                      <w:i/>
                      <w:sz w:val="20"/>
                      <w:szCs w:val="20"/>
                    </w:rPr>
                  </m:ctrlPr>
                </m:sub>
              </m:sSub>
            </m:oMath>
          </w:p>
          <w:p w14:paraId="10E3B965">
            <w:pPr>
              <w:pStyle w:val="19"/>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Dimension of transformer block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d</m:t>
                  </m:r>
                  <m:ctrlPr>
                    <w:rPr>
                      <w:rFonts w:hint="default" w:ascii="Cambria Math" w:hAnsi="Cambria Math" w:cs="Times New Roman"/>
                      <w:i/>
                      <w:sz w:val="20"/>
                      <w:szCs w:val="20"/>
                    </w:rPr>
                  </m:ctrlPr>
                </m:e>
                <m:sub>
                  <m:r>
                    <m:rPr/>
                    <w:rPr>
                      <w:rFonts w:hint="default" w:ascii="Cambria Math" w:hAnsi="Cambria Math" w:cs="Times New Roman"/>
                      <w:sz w:val="20"/>
                      <w:szCs w:val="20"/>
                    </w:rPr>
                    <m:t>model</m:t>
                  </m:r>
                  <m:ctrlPr>
                    <w:rPr>
                      <w:rFonts w:hint="default" w:ascii="Cambria Math" w:hAnsi="Cambria Math" w:cs="Times New Roman"/>
                      <w:i/>
                      <w:sz w:val="20"/>
                      <w:szCs w:val="20"/>
                    </w:rPr>
                  </m:ctrlPr>
                </m:sub>
              </m:sSub>
            </m:oMath>
          </w:p>
          <w:p w14:paraId="0B4C23D2">
            <w:pPr>
              <w:pStyle w:val="19"/>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Number of self-attention heads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ℎead</m:t>
                  </m:r>
                  <m:ctrlPr>
                    <w:rPr>
                      <w:rFonts w:hint="default" w:ascii="Cambria Math" w:hAnsi="Cambria Math" w:cs="Times New Roman"/>
                      <w:i/>
                      <w:sz w:val="20"/>
                      <w:szCs w:val="20"/>
                    </w:rPr>
                  </m:ctrlPr>
                </m:sub>
              </m:sSub>
            </m:oMath>
          </w:p>
          <w:p w14:paraId="0306F7C0">
            <w:pPr>
              <w:pStyle w:val="19"/>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Dimension of attention head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d</m:t>
                  </m:r>
                  <m:ctrlPr>
                    <w:rPr>
                      <w:rFonts w:hint="default" w:ascii="Cambria Math" w:hAnsi="Cambria Math" w:cs="Times New Roman"/>
                      <w:i/>
                      <w:sz w:val="20"/>
                      <w:szCs w:val="20"/>
                    </w:rPr>
                  </m:ctrlPr>
                </m:e>
                <m:sub>
                  <m:r>
                    <m:rPr/>
                    <w:rPr>
                      <w:rFonts w:hint="default" w:ascii="Cambria Math" w:hAnsi="Cambria Math" w:cs="Times New Roman"/>
                      <w:sz w:val="20"/>
                      <w:szCs w:val="20"/>
                    </w:rPr>
                    <m:t>ℎead</m:t>
                  </m:r>
                  <m:ctrlPr>
                    <w:rPr>
                      <w:rFonts w:hint="default" w:ascii="Cambria Math" w:hAnsi="Cambria Math" w:cs="Times New Roman"/>
                      <w:i/>
                      <w:sz w:val="20"/>
                      <w:szCs w:val="20"/>
                    </w:rPr>
                  </m:ctrlPr>
                </m:sub>
              </m:sSub>
            </m:oMath>
          </w:p>
          <w:p w14:paraId="3D5B26AA">
            <w:pPr>
              <w:pStyle w:val="19"/>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Dimension of latent space inside feedforward module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d</m:t>
                  </m:r>
                  <m:ctrlPr>
                    <w:rPr>
                      <w:rFonts w:hint="default" w:ascii="Cambria Math" w:hAnsi="Cambria Math" w:cs="Times New Roman"/>
                      <w:i/>
                      <w:sz w:val="20"/>
                      <w:szCs w:val="20"/>
                    </w:rPr>
                  </m:ctrlPr>
                </m:e>
                <m:sub>
                  <m:r>
                    <m:rPr/>
                    <w:rPr>
                      <w:rFonts w:hint="default" w:ascii="Cambria Math" w:hAnsi="Cambria Math" w:cs="Times New Roman"/>
                      <w:sz w:val="20"/>
                      <w:szCs w:val="20"/>
                    </w:rPr>
                    <m:t>FF</m:t>
                  </m:r>
                  <m:ctrlPr>
                    <w:rPr>
                      <w:rFonts w:hint="default" w:ascii="Cambria Math" w:hAnsi="Cambria Math" w:cs="Times New Roman"/>
                      <w:i/>
                      <w:sz w:val="20"/>
                      <w:szCs w:val="20"/>
                    </w:rPr>
                  </m:ctrlPr>
                </m:sub>
              </m:sSub>
            </m:oMath>
          </w:p>
          <w:p w14:paraId="6CE71E26">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Activation function choice</w:t>
            </w:r>
          </w:p>
        </w:tc>
      </w:tr>
      <w:tr w14:paraId="7D156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3430" w:type="dxa"/>
          </w:tcPr>
          <w:p w14:paraId="3C0E5468">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Output linear layer</w:t>
            </w:r>
          </w:p>
        </w:tc>
        <w:tc>
          <w:tcPr>
            <w:tcW w:w="5475" w:type="dxa"/>
          </w:tcPr>
          <w:p w14:paraId="0CC8DEA5">
            <w:pPr>
              <w:pStyle w:val="19"/>
              <w:widowControl w:val="0"/>
              <w:rPr>
                <w:rFonts w:hint="default" w:ascii="Times New Roman" w:hAnsi="Times New Roman" w:cs="Times New Roman"/>
                <w:sz w:val="20"/>
                <w:szCs w:val="20"/>
              </w:rPr>
            </w:pPr>
            <w:r>
              <w:rPr>
                <w:rFonts w:hint="default" w:ascii="Times New Roman" w:hAnsi="Times New Roman" w:cs="Times New Roman"/>
                <w:sz w:val="20"/>
                <w:szCs w:val="20"/>
              </w:rPr>
              <w:t>Reshape the matrix to a vector</w:t>
            </w:r>
          </w:p>
          <w:p w14:paraId="111210A6">
            <w:pPr>
              <w:pStyle w:val="19"/>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Output dimension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z</m:t>
                  </m:r>
                  <m:ctrlPr>
                    <w:rPr>
                      <w:rFonts w:hint="default" w:ascii="Cambria Math" w:hAnsi="Cambria Math" w:cs="Times New Roman"/>
                      <w:i/>
                      <w:sz w:val="20"/>
                      <w:szCs w:val="20"/>
                    </w:rPr>
                  </m:ctrlPr>
                </m:e>
                <m:sub>
                  <m:r>
                    <m:rPr/>
                    <w:rPr>
                      <w:rFonts w:hint="default" w:ascii="Cambria Math" w:hAnsi="Cambria Math" w:cs="Times New Roman"/>
                      <w:sz w:val="20"/>
                      <w:szCs w:val="20"/>
                    </w:rPr>
                    <m:t>dim</m:t>
                  </m:r>
                  <m:ctrlPr>
                    <w:rPr>
                      <w:rFonts w:hint="default" w:ascii="Cambria Math" w:hAnsi="Cambria Math" w:cs="Times New Roman"/>
                      <w:i/>
                      <w:sz w:val="20"/>
                      <w:szCs w:val="20"/>
                    </w:rPr>
                  </m:ctrlPr>
                </m:sub>
              </m:sSub>
            </m:oMath>
          </w:p>
        </w:tc>
      </w:tr>
      <w:tr w14:paraId="3A3AE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3430" w:type="dxa"/>
          </w:tcPr>
          <w:p w14:paraId="39037CEF">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Quantization</w:t>
            </w:r>
          </w:p>
        </w:tc>
        <w:tc>
          <w:tcPr>
            <w:tcW w:w="5475" w:type="dxa"/>
          </w:tcPr>
          <w:p w14:paraId="55DC9D30">
            <w:pPr>
              <w:pStyle w:val="19"/>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Scalar quantization: </w:t>
            </w:r>
          </w:p>
          <w:p w14:paraId="0B871567">
            <w:pPr>
              <w:pStyle w:val="19"/>
              <w:widowControl w:val="0"/>
              <w:numPr>
                <w:ilvl w:val="0"/>
                <w:numId w:val="9"/>
              </w:numPr>
              <w:rPr>
                <w:rFonts w:hint="default" w:ascii="Times New Roman" w:hAnsi="Times New Roman" w:cs="Times New Roman"/>
                <w:sz w:val="20"/>
                <w:szCs w:val="20"/>
              </w:rPr>
            </w:pPr>
            <w:bookmarkStart w:id="8" w:name="MCCQCTEMPBM_00000158"/>
            <w:r>
              <w:rPr>
                <w:rFonts w:hint="default" w:ascii="Times New Roman" w:hAnsi="Times New Roman" w:cs="Times New Roman"/>
                <w:sz w:val="20"/>
                <w:szCs w:val="20"/>
              </w:rPr>
              <w:t xml:space="preserve">Number of bits per latent dimension: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bit</m:t>
                  </m:r>
                  <m:ctrlPr>
                    <w:rPr>
                      <w:rFonts w:hint="default" w:ascii="Cambria Math" w:hAnsi="Cambria Math" w:cs="Times New Roman"/>
                      <w:i/>
                      <w:sz w:val="20"/>
                      <w:szCs w:val="20"/>
                    </w:rPr>
                  </m:ctrlPr>
                </m:sub>
              </m:sSub>
            </m:oMath>
          </w:p>
          <w:bookmarkEnd w:id="8"/>
          <w:p w14:paraId="584CD786">
            <w:pPr>
              <w:pStyle w:val="19"/>
              <w:widowControl w:val="0"/>
              <w:numPr>
                <w:ilvl w:val="0"/>
                <w:numId w:val="9"/>
              </w:numPr>
              <w:rPr>
                <w:rFonts w:hint="default" w:ascii="Times New Roman" w:hAnsi="Times New Roman" w:cs="Times New Roman"/>
                <w:sz w:val="20"/>
                <w:szCs w:val="20"/>
              </w:rPr>
            </w:pPr>
            <w:bookmarkStart w:id="9" w:name="MCCQCTEMPBM_00000159"/>
            <w:r>
              <w:rPr>
                <w:rFonts w:hint="default" w:ascii="Times New Roman" w:hAnsi="Times New Roman" w:cs="Times New Roman"/>
                <w:sz w:val="20"/>
                <w:szCs w:val="20"/>
              </w:rPr>
              <w:t xml:space="preserve">Total payload size for Scalar quantization =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bit</m:t>
                  </m:r>
                  <m:ctrlPr>
                    <w:rPr>
                      <w:rFonts w:hint="default" w:ascii="Cambria Math" w:hAnsi="Cambria Math" w:cs="Times New Roman"/>
                      <w:i/>
                      <w:sz w:val="20"/>
                      <w:szCs w:val="20"/>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Z</m:t>
                  </m:r>
                  <m:ctrlPr>
                    <w:rPr>
                      <w:rFonts w:hint="default" w:ascii="Cambria Math" w:hAnsi="Cambria Math" w:cs="Times New Roman"/>
                      <w:i/>
                      <w:sz w:val="20"/>
                      <w:szCs w:val="20"/>
                    </w:rPr>
                  </m:ctrlPr>
                </m:e>
                <m:sub>
                  <m:r>
                    <m:rPr/>
                    <w:rPr>
                      <w:rFonts w:hint="default" w:ascii="Cambria Math" w:hAnsi="Cambria Math" w:cs="Times New Roman"/>
                      <w:sz w:val="20"/>
                      <w:szCs w:val="20"/>
                    </w:rPr>
                    <m:t>dim</m:t>
                  </m:r>
                  <m:ctrlPr>
                    <w:rPr>
                      <w:rFonts w:hint="default" w:ascii="Cambria Math" w:hAnsi="Cambria Math" w:cs="Times New Roman"/>
                      <w:i/>
                      <w:sz w:val="20"/>
                      <w:szCs w:val="20"/>
                    </w:rPr>
                  </m:ctrlPr>
                </m:sub>
              </m:sSub>
            </m:oMath>
          </w:p>
          <w:bookmarkEnd w:id="9"/>
          <w:p w14:paraId="16F517FC">
            <w:pPr>
              <w:pStyle w:val="19"/>
              <w:widowControl w:val="0"/>
              <w:rPr>
                <w:rFonts w:hint="default" w:ascii="Times New Roman" w:hAnsi="Times New Roman" w:cs="Times New Roman"/>
                <w:sz w:val="20"/>
                <w:szCs w:val="20"/>
              </w:rPr>
            </w:pPr>
            <w:r>
              <w:rPr>
                <w:rFonts w:hint="default" w:ascii="Times New Roman" w:hAnsi="Times New Roman" w:cs="Times New Roman"/>
                <w:sz w:val="20"/>
                <w:szCs w:val="20"/>
              </w:rPr>
              <w:t>Vector quantization</w:t>
            </w:r>
          </w:p>
          <w:p w14:paraId="53A5CC07">
            <w:pPr>
              <w:pStyle w:val="19"/>
              <w:widowControl w:val="0"/>
              <w:numPr>
                <w:ilvl w:val="0"/>
                <w:numId w:val="10"/>
              </w:numPr>
              <w:rPr>
                <w:rFonts w:hint="default" w:ascii="Times New Roman" w:hAnsi="Times New Roman" w:cs="Times New Roman"/>
                <w:sz w:val="20"/>
                <w:szCs w:val="20"/>
              </w:rPr>
            </w:pPr>
            <w:bookmarkStart w:id="10" w:name="MCCQCTEMPBM_00000160"/>
            <w:r>
              <w:rPr>
                <w:rFonts w:hint="default" w:ascii="Times New Roman" w:hAnsi="Times New Roman" w:cs="Times New Roman"/>
                <w:sz w:val="20"/>
                <w:szCs w:val="20"/>
              </w:rPr>
              <w:t xml:space="preserve">segment size =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seg</m:t>
                  </m:r>
                  <m:ctrlPr>
                    <w:rPr>
                      <w:rFonts w:hint="default" w:ascii="Cambria Math" w:hAnsi="Cambria Math" w:cs="Times New Roman"/>
                      <w:i/>
                      <w:sz w:val="20"/>
                      <w:szCs w:val="20"/>
                    </w:rPr>
                  </m:ctrlPr>
                </m:sub>
              </m:sSub>
            </m:oMath>
          </w:p>
          <w:bookmarkEnd w:id="10"/>
          <w:p w14:paraId="1A910C33">
            <w:pPr>
              <w:pStyle w:val="19"/>
              <w:widowControl w:val="0"/>
              <w:numPr>
                <w:ilvl w:val="0"/>
                <w:numId w:val="10"/>
              </w:numPr>
              <w:rPr>
                <w:rFonts w:hint="default" w:ascii="Times New Roman" w:hAnsi="Times New Roman" w:cs="Times New Roman"/>
                <w:sz w:val="20"/>
                <w:szCs w:val="20"/>
              </w:rPr>
            </w:pPr>
            <w:bookmarkStart w:id="11" w:name="MCCQCTEMPBM_00000161"/>
            <w:r>
              <w:rPr>
                <w:rFonts w:hint="default" w:ascii="Times New Roman" w:hAnsi="Times New Roman" w:cs="Times New Roman"/>
                <w:sz w:val="20"/>
                <w:szCs w:val="20"/>
              </w:rPr>
              <w:t>Number of bits per latent dimension:</w:t>
            </w:r>
            <w:r>
              <w:rPr>
                <w:rFonts w:hint="default" w:ascii="Times New Roman" w:hAnsi="Times New Roman" w:cs="Times New Roman"/>
                <w:i/>
                <w:sz w:val="20"/>
                <w:szCs w:val="20"/>
              </w:rPr>
              <w:t xml:space="preserve">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bit</m:t>
                  </m:r>
                  <m:ctrlPr>
                    <w:rPr>
                      <w:rFonts w:hint="default" w:ascii="Cambria Math" w:hAnsi="Cambria Math" w:cs="Times New Roman"/>
                      <w:i/>
                      <w:sz w:val="20"/>
                      <w:szCs w:val="20"/>
                    </w:rPr>
                  </m:ctrlPr>
                </m:sub>
              </m:sSub>
            </m:oMath>
          </w:p>
          <w:bookmarkEnd w:id="11"/>
          <w:p w14:paraId="498DCA55">
            <w:pPr>
              <w:pStyle w:val="19"/>
              <w:widowControl w:val="0"/>
              <w:numPr>
                <w:ilvl w:val="0"/>
                <w:numId w:val="10"/>
              </w:numPr>
              <w:rPr>
                <w:rFonts w:hint="default" w:ascii="Times New Roman" w:hAnsi="Times New Roman" w:cs="Times New Roman"/>
                <w:sz w:val="20"/>
                <w:szCs w:val="20"/>
              </w:rPr>
            </w:pPr>
            <w:bookmarkStart w:id="12" w:name="MCCQCTEMPBM_00000162"/>
            <w:r>
              <w:rPr>
                <w:rFonts w:hint="default" w:ascii="Times New Roman" w:hAnsi="Times New Roman" w:cs="Times New Roman"/>
                <w:sz w:val="20"/>
                <w:szCs w:val="20"/>
              </w:rPr>
              <w:t xml:space="preserve">bits per segment =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bit</m:t>
                  </m:r>
                  <m:ctrlPr>
                    <w:rPr>
                      <w:rFonts w:hint="default" w:ascii="Cambria Math" w:hAnsi="Cambria Math" w:cs="Times New Roman"/>
                      <w:i/>
                      <w:sz w:val="20"/>
                      <w:szCs w:val="20"/>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seg</m:t>
                  </m:r>
                  <m:ctrlPr>
                    <w:rPr>
                      <w:rFonts w:hint="default" w:ascii="Cambria Math" w:hAnsi="Cambria Math" w:cs="Times New Roman"/>
                      <w:i/>
                      <w:sz w:val="20"/>
                      <w:szCs w:val="20"/>
                    </w:rPr>
                  </m:ctrlPr>
                </m:sub>
              </m:sSub>
            </m:oMath>
          </w:p>
          <w:bookmarkEnd w:id="12"/>
          <w:p w14:paraId="5F97F57F">
            <w:pPr>
              <w:pStyle w:val="19"/>
              <w:widowControl w:val="0"/>
              <w:numPr>
                <w:ilvl w:val="0"/>
                <w:numId w:val="10"/>
              </w:numPr>
              <w:rPr>
                <w:rFonts w:hint="default" w:ascii="Times New Roman" w:hAnsi="Times New Roman" w:cs="Times New Roman"/>
                <w:sz w:val="20"/>
                <w:szCs w:val="20"/>
              </w:rPr>
            </w:pPr>
            <w:bookmarkStart w:id="13" w:name="MCCQCTEMPBM_00000163"/>
            <w:r>
              <w:rPr>
                <w:rFonts w:hint="default" w:ascii="Times New Roman" w:hAnsi="Times New Roman" w:cs="Times New Roman"/>
                <w:sz w:val="20"/>
                <w:szCs w:val="20"/>
              </w:rPr>
              <w:t xml:space="preserve">Number of segments =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Z</m:t>
                  </m:r>
                  <m:ctrlPr>
                    <w:rPr>
                      <w:rFonts w:hint="default" w:ascii="Cambria Math" w:hAnsi="Cambria Math" w:cs="Times New Roman"/>
                      <w:i/>
                      <w:sz w:val="20"/>
                      <w:szCs w:val="20"/>
                    </w:rPr>
                  </m:ctrlPr>
                </m:e>
                <m:sub>
                  <m:r>
                    <m:rPr/>
                    <w:rPr>
                      <w:rFonts w:hint="default" w:ascii="Cambria Math" w:hAnsi="Cambria Math" w:cs="Times New Roman"/>
                      <w:sz w:val="20"/>
                      <w:szCs w:val="20"/>
                    </w:rPr>
                    <m:t>dim</m:t>
                  </m:r>
                  <m:ctrlPr>
                    <w:rPr>
                      <w:rFonts w:hint="default" w:ascii="Cambria Math" w:hAnsi="Cambria Math" w:cs="Times New Roman"/>
                      <w:i/>
                      <w:sz w:val="20"/>
                      <w:szCs w:val="20"/>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seg</m:t>
                  </m:r>
                  <m:ctrlPr>
                    <w:rPr>
                      <w:rFonts w:hint="default" w:ascii="Cambria Math" w:hAnsi="Cambria Math" w:cs="Times New Roman"/>
                      <w:i/>
                      <w:sz w:val="20"/>
                      <w:szCs w:val="20"/>
                    </w:rPr>
                  </m:ctrlPr>
                </m:sub>
              </m:sSub>
            </m:oMath>
          </w:p>
          <w:bookmarkEnd w:id="13"/>
          <w:p w14:paraId="63B1E213">
            <w:pPr>
              <w:pStyle w:val="19"/>
              <w:keepNext w:val="0"/>
              <w:keepLines w:val="0"/>
              <w:widowControl w:val="0"/>
              <w:numPr>
                <w:ilvl w:val="0"/>
                <w:numId w:val="10"/>
              </w:numPr>
              <w:rPr>
                <w:rFonts w:hint="default" w:ascii="Times New Roman" w:hAnsi="Times New Roman" w:cs="Times New Roman"/>
                <w:sz w:val="20"/>
                <w:szCs w:val="20"/>
              </w:rPr>
            </w:pPr>
            <w:r>
              <w:rPr>
                <w:rFonts w:hint="default" w:ascii="Times New Roman" w:hAnsi="Times New Roman" w:cs="Times New Roman"/>
                <w:sz w:val="20"/>
                <w:szCs w:val="20"/>
              </w:rPr>
              <w:t>Total payload size for Vector quantization = Number of segments * bits per segment</w:t>
            </w:r>
          </w:p>
        </w:tc>
      </w:tr>
    </w:tbl>
    <w:p w14:paraId="55371D28">
      <w:pPr>
        <w:spacing w:after="180" w:line="240" w:lineRule="exact"/>
        <w:rPr>
          <w:rFonts w:hint="eastAsia" w:ascii="Times New Roman" w:hAnsi="Times New Roman" w:eastAsia="等线"/>
          <w:bCs/>
          <w:iCs/>
          <w:sz w:val="20"/>
          <w:szCs w:val="20"/>
          <w:lang w:val="en-US" w:eastAsia="zh-CN"/>
        </w:rPr>
      </w:pPr>
    </w:p>
    <w:p w14:paraId="6F98E4F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Since we agreed to take Transformer as baseline, it is proposed that the example structure and parameters in RAN1 can be used as baseline.  </w:t>
      </w:r>
    </w:p>
    <w:p w14:paraId="0F446C4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model backbone and model hyperparameters, it is proposed that the example structure and parameters for transformer agreed in RAN1 are used as baseline.</w:t>
      </w:r>
    </w:p>
    <w:p w14:paraId="326C274C">
      <w:pPr>
        <w:spacing w:after="180" w:line="240" w:lineRule="exact"/>
        <w:rPr>
          <w:rFonts w:hint="default" w:ascii="Times New Roman" w:hAnsi="Times New Roman" w:cs="Times New Roman"/>
          <w:bCs/>
          <w:sz w:val="20"/>
          <w:szCs w:val="20"/>
          <w:lang w:val="en-US" w:eastAsia="zh-CN"/>
        </w:rPr>
      </w:pPr>
    </w:p>
    <w:bookmarkEnd w:id="6"/>
    <w:bookmarkEnd w:id="7"/>
    <w:p w14:paraId="0AAB70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inter-vendor training collaboration and interoperability for two-sided AI/ML models</w:t>
      </w:r>
      <w:r>
        <w:rPr>
          <w:rFonts w:hint="eastAsia" w:ascii="Times New Roman" w:hAnsi="Times New Roman"/>
          <w:sz w:val="20"/>
          <w:szCs w:val="20"/>
        </w:rPr>
        <w:t>. The proposals are:</w:t>
      </w:r>
    </w:p>
    <w:p w14:paraId="4E88D380">
      <w:pPr>
        <w:spacing w:after="180" w:line="240" w:lineRule="exact"/>
        <w:rPr>
          <w:rFonts w:hint="eastAsia" w:ascii="Times New Roman" w:hAnsi="Times New Roman" w:eastAsia="等线"/>
          <w:b/>
          <w:bCs/>
          <w:i/>
          <w:iCs/>
          <w:sz w:val="20"/>
          <w:szCs w:val="20"/>
          <w:lang w:val="en-US" w:eastAsia="zh-CN"/>
        </w:rPr>
      </w:pPr>
      <w:r>
        <w:rPr>
          <w:rFonts w:hint="eastAsia" w:ascii="Times New Roman" w:hAnsi="Times New Roman" w:eastAsia="等线"/>
          <w:b/>
          <w:bCs w:val="0"/>
          <w:i/>
          <w:iCs w:val="0"/>
          <w:sz w:val="20"/>
          <w:szCs w:val="20"/>
          <w:lang w:val="en-US" w:eastAsia="zh-CN"/>
        </w:rPr>
        <w:t>Proposal 1: for model backbone and model hyperparameters, it is proposed that the example structure and parameters for transformer agreed in RAN1 are used as baseline.</w:t>
      </w:r>
      <w:bookmarkStart w:id="14" w:name="_GoBack"/>
      <w:bookmarkEnd w:id="14"/>
    </w:p>
    <w:p w14:paraId="68A5D76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51FD48C">
      <w:pPr>
        <w:pStyle w:val="15"/>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val="en-US" w:eastAsia="zh-CN"/>
        </w:rPr>
        <w:t>RP-251870, New WI: Artificial Intelligence (AI)/Machine Learning (ML) for NR air interface enhancements</w:t>
      </w:r>
    </w:p>
    <w:p w14:paraId="0736C57C">
      <w:pPr>
        <w:pStyle w:val="15"/>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val="en-US" w:eastAsia="zh-CN"/>
        </w:rPr>
        <w:t>R4-2514614, WF on R20 NR_AIML_air_Ph2, Ericsson</w:t>
      </w:r>
    </w:p>
    <w:p w14:paraId="45973251">
      <w:pPr>
        <w:pStyle w:val="15"/>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[3] 3GPP TR 38.843, Study on Artificial Intelligence (AI)/Machine Learning (ML) for NR air interface </w:t>
      </w:r>
    </w:p>
    <w:p w14:paraId="18CE6519">
      <w:pPr>
        <w:pStyle w:val="15"/>
        <w:framePr w:wrap="auto" w:vAnchor="margin" w:hAnchor="text" w:yAlign="inline"/>
        <w:ind w:right="400"/>
        <w:jc w:val="both"/>
        <w:rPr>
          <w:rFonts w:ascii="Times" w:hAnsi="Times" w:eastAsia="宋体"/>
          <w:b w:val="0"/>
          <w:sz w:val="20"/>
          <w:lang w:eastAsia="zh-CN"/>
        </w:rPr>
      </w:pPr>
    </w:p>
    <w:p w14:paraId="3E9138E2">
      <w:pPr>
        <w:pStyle w:val="15"/>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BBB0432"/>
    <w:multiLevelType w:val="multilevel"/>
    <w:tmpl w:val="1BBB0432"/>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F5D4836"/>
    <w:multiLevelType w:val="multilevel"/>
    <w:tmpl w:val="2F5D4836"/>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1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3CA5D2B"/>
    <w:multiLevelType w:val="multilevel"/>
    <w:tmpl w:val="43CA5D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80B6417"/>
    <w:multiLevelType w:val="multilevel"/>
    <w:tmpl w:val="580B641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4DA56F6"/>
    <w:multiLevelType w:val="multilevel"/>
    <w:tmpl w:val="64DA56F6"/>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6186C5F"/>
    <w:multiLevelType w:val="multilevel"/>
    <w:tmpl w:val="66186C5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4"/>
  </w:num>
  <w:num w:numId="3">
    <w:abstractNumId w:val="2"/>
  </w:num>
  <w:num w:numId="4">
    <w:abstractNumId w:val="6"/>
  </w:num>
  <w:num w:numId="5">
    <w:abstractNumId w:val="3"/>
  </w:num>
  <w:num w:numId="6">
    <w:abstractNumId w:val="5"/>
  </w:num>
  <w:num w:numId="7">
    <w:abstractNumId w:val="9"/>
  </w:num>
  <w:num w:numId="8">
    <w:abstractNumId w:val="7"/>
  </w:num>
  <w:num w:numId="9">
    <w:abstractNumId w:val="8"/>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80610"/>
    <w:rsid w:val="01DC7BC0"/>
    <w:rsid w:val="020874E3"/>
    <w:rsid w:val="02366D2D"/>
    <w:rsid w:val="029045F8"/>
    <w:rsid w:val="02BB6F86"/>
    <w:rsid w:val="03315CCB"/>
    <w:rsid w:val="041E7AB7"/>
    <w:rsid w:val="04B0587E"/>
    <w:rsid w:val="04CB5CDE"/>
    <w:rsid w:val="05FD1662"/>
    <w:rsid w:val="063103EA"/>
    <w:rsid w:val="065345EF"/>
    <w:rsid w:val="07AF30A6"/>
    <w:rsid w:val="084A6C23"/>
    <w:rsid w:val="08AC43BF"/>
    <w:rsid w:val="08C01BD2"/>
    <w:rsid w:val="0A12645E"/>
    <w:rsid w:val="0A7A49BE"/>
    <w:rsid w:val="0BDF4286"/>
    <w:rsid w:val="0CFD51A3"/>
    <w:rsid w:val="0D974106"/>
    <w:rsid w:val="0DE85960"/>
    <w:rsid w:val="0E2315D2"/>
    <w:rsid w:val="0EB3632D"/>
    <w:rsid w:val="0EEF4E8D"/>
    <w:rsid w:val="0FDE2595"/>
    <w:rsid w:val="0FE50EF5"/>
    <w:rsid w:val="107700EF"/>
    <w:rsid w:val="13156148"/>
    <w:rsid w:val="135463C6"/>
    <w:rsid w:val="14EE202C"/>
    <w:rsid w:val="151A3F0B"/>
    <w:rsid w:val="15685863"/>
    <w:rsid w:val="156D67CC"/>
    <w:rsid w:val="15774DC7"/>
    <w:rsid w:val="158970AB"/>
    <w:rsid w:val="15C5068C"/>
    <w:rsid w:val="16C20D68"/>
    <w:rsid w:val="17EE3251"/>
    <w:rsid w:val="184D106D"/>
    <w:rsid w:val="1869036D"/>
    <w:rsid w:val="18C26AAD"/>
    <w:rsid w:val="19D35C0A"/>
    <w:rsid w:val="1A4B52AF"/>
    <w:rsid w:val="1B097409"/>
    <w:rsid w:val="1B8C2C7D"/>
    <w:rsid w:val="1BDE38AF"/>
    <w:rsid w:val="1C79747B"/>
    <w:rsid w:val="1FCC58B7"/>
    <w:rsid w:val="21361E41"/>
    <w:rsid w:val="21A25EC1"/>
    <w:rsid w:val="21CD1190"/>
    <w:rsid w:val="22C91E20"/>
    <w:rsid w:val="239448A4"/>
    <w:rsid w:val="245C2C9F"/>
    <w:rsid w:val="24BB4727"/>
    <w:rsid w:val="250671CD"/>
    <w:rsid w:val="25830931"/>
    <w:rsid w:val="259C54CD"/>
    <w:rsid w:val="27BB3844"/>
    <w:rsid w:val="292667C0"/>
    <w:rsid w:val="295E6B72"/>
    <w:rsid w:val="2E4A4A00"/>
    <w:rsid w:val="30726630"/>
    <w:rsid w:val="308E7578"/>
    <w:rsid w:val="311F0FAA"/>
    <w:rsid w:val="3159659D"/>
    <w:rsid w:val="31C72739"/>
    <w:rsid w:val="32420EA7"/>
    <w:rsid w:val="3295408B"/>
    <w:rsid w:val="33123448"/>
    <w:rsid w:val="36311397"/>
    <w:rsid w:val="36915B95"/>
    <w:rsid w:val="372F00FC"/>
    <w:rsid w:val="397B647A"/>
    <w:rsid w:val="39DC502A"/>
    <w:rsid w:val="3A2D7A1A"/>
    <w:rsid w:val="3A692ADF"/>
    <w:rsid w:val="3A923B26"/>
    <w:rsid w:val="3ACA3C80"/>
    <w:rsid w:val="3ADD5C61"/>
    <w:rsid w:val="3CA05E05"/>
    <w:rsid w:val="3D0535AB"/>
    <w:rsid w:val="3DEB4836"/>
    <w:rsid w:val="3DEF01B7"/>
    <w:rsid w:val="3FB76397"/>
    <w:rsid w:val="402E3A57"/>
    <w:rsid w:val="40905E46"/>
    <w:rsid w:val="41C815FA"/>
    <w:rsid w:val="42863877"/>
    <w:rsid w:val="43FC159A"/>
    <w:rsid w:val="45185DAE"/>
    <w:rsid w:val="4582291E"/>
    <w:rsid w:val="465D5FD1"/>
    <w:rsid w:val="46A636F7"/>
    <w:rsid w:val="47F77D5E"/>
    <w:rsid w:val="4815134F"/>
    <w:rsid w:val="49574F07"/>
    <w:rsid w:val="4B16773E"/>
    <w:rsid w:val="4B525B6F"/>
    <w:rsid w:val="4BF70D1F"/>
    <w:rsid w:val="4C147660"/>
    <w:rsid w:val="4C9C083E"/>
    <w:rsid w:val="4D115B26"/>
    <w:rsid w:val="4D3D03C8"/>
    <w:rsid w:val="4D4D0662"/>
    <w:rsid w:val="4D85114F"/>
    <w:rsid w:val="4DC10097"/>
    <w:rsid w:val="4F234726"/>
    <w:rsid w:val="501D5DFE"/>
    <w:rsid w:val="519613CC"/>
    <w:rsid w:val="5217567C"/>
    <w:rsid w:val="524117A8"/>
    <w:rsid w:val="549E0D64"/>
    <w:rsid w:val="563034C0"/>
    <w:rsid w:val="565478BB"/>
    <w:rsid w:val="566930C6"/>
    <w:rsid w:val="57B0086C"/>
    <w:rsid w:val="585844FD"/>
    <w:rsid w:val="5879537F"/>
    <w:rsid w:val="5999038C"/>
    <w:rsid w:val="5A715FC6"/>
    <w:rsid w:val="5AC558FB"/>
    <w:rsid w:val="5AC66592"/>
    <w:rsid w:val="5B2B0B23"/>
    <w:rsid w:val="5CBC141D"/>
    <w:rsid w:val="5D0B4E13"/>
    <w:rsid w:val="5DE0757A"/>
    <w:rsid w:val="5DE63D68"/>
    <w:rsid w:val="5E145FE7"/>
    <w:rsid w:val="5E2B562E"/>
    <w:rsid w:val="5E47553D"/>
    <w:rsid w:val="5E6261E1"/>
    <w:rsid w:val="5ED80E84"/>
    <w:rsid w:val="618A1E17"/>
    <w:rsid w:val="62A95749"/>
    <w:rsid w:val="62D046AC"/>
    <w:rsid w:val="634877EE"/>
    <w:rsid w:val="644D521F"/>
    <w:rsid w:val="65674A25"/>
    <w:rsid w:val="68CA01FA"/>
    <w:rsid w:val="69567192"/>
    <w:rsid w:val="6A52659E"/>
    <w:rsid w:val="6B870356"/>
    <w:rsid w:val="6BE35B73"/>
    <w:rsid w:val="6C2143D4"/>
    <w:rsid w:val="6CCE4B92"/>
    <w:rsid w:val="6D092287"/>
    <w:rsid w:val="6D205895"/>
    <w:rsid w:val="6D7E0FF0"/>
    <w:rsid w:val="6DF758F9"/>
    <w:rsid w:val="7131202E"/>
    <w:rsid w:val="720D5752"/>
    <w:rsid w:val="731743ED"/>
    <w:rsid w:val="740D27BD"/>
    <w:rsid w:val="74126C56"/>
    <w:rsid w:val="74C23D1D"/>
    <w:rsid w:val="75171C5E"/>
    <w:rsid w:val="75886832"/>
    <w:rsid w:val="75C87EDD"/>
    <w:rsid w:val="773771F4"/>
    <w:rsid w:val="79263F52"/>
    <w:rsid w:val="7AA34743"/>
    <w:rsid w:val="7AC06311"/>
    <w:rsid w:val="7C3F4164"/>
    <w:rsid w:val="7C5D034E"/>
    <w:rsid w:val="7C6D39AE"/>
    <w:rsid w:val="7D002024"/>
    <w:rsid w:val="7D590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Date"/>
    <w:basedOn w:val="1"/>
    <w:next w:val="1"/>
    <w:unhideWhenUsed/>
    <w:qFormat/>
    <w:uiPriority w:val="99"/>
    <w:pPr>
      <w:ind w:left="100" w:leftChars="2500"/>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6">
    <w:name w:val="TH"/>
    <w:basedOn w:val="1"/>
    <w:qFormat/>
    <w:uiPriority w:val="0"/>
    <w:pPr>
      <w:keepNext/>
      <w:keepLines/>
      <w:spacing w:before="60"/>
      <w:jc w:val="center"/>
    </w:pPr>
    <w:rPr>
      <w:rFonts w:ascii="Arial" w:hAnsi="Arial"/>
      <w:b/>
    </w:rPr>
  </w:style>
  <w:style w:type="paragraph" w:customStyle="1" w:styleId="17">
    <w:name w:val="TAH"/>
    <w:basedOn w:val="18"/>
    <w:qFormat/>
    <w:uiPriority w:val="0"/>
    <w:rPr>
      <w:b/>
    </w:rPr>
  </w:style>
  <w:style w:type="paragraph" w:customStyle="1" w:styleId="18">
    <w:name w:val="TAC"/>
    <w:basedOn w:val="19"/>
    <w:qFormat/>
    <w:uiPriority w:val="0"/>
    <w:pPr>
      <w:jc w:val="center"/>
    </w:pPr>
  </w:style>
  <w:style w:type="paragraph" w:customStyle="1" w:styleId="19">
    <w:name w:val="TAL"/>
    <w:basedOn w:val="1"/>
    <w:qFormat/>
    <w:uiPriority w:val="0"/>
    <w:pPr>
      <w:keepNext/>
      <w:keepLines/>
      <w:spacing w:after="0"/>
    </w:pPr>
    <w:rPr>
      <w:rFonts w:ascii="Arial" w:hAnsi="Arial"/>
      <w:sz w:val="18"/>
    </w:rPr>
  </w:style>
  <w:style w:type="paragraph" w:customStyle="1" w:styleId="20">
    <w:name w:val="TAN"/>
    <w:basedOn w:val="19"/>
    <w:qFormat/>
    <w:uiPriority w:val="0"/>
    <w:pPr>
      <w:ind w:left="851" w:hanging="851"/>
    </w:pPr>
  </w:style>
  <w:style w:type="paragraph" w:customStyle="1" w:styleId="21">
    <w:name w:val="B1"/>
    <w:basedOn w:val="5"/>
    <w:qFormat/>
    <w:uiPriority w:val="0"/>
  </w:style>
  <w:style w:type="paragraph" w:customStyle="1" w:styleId="22">
    <w:name w:val="B2"/>
    <w:basedOn w:val="4"/>
    <w:qFormat/>
    <w:uiPriority w:val="0"/>
  </w:style>
  <w:style w:type="paragraph" w:customStyle="1" w:styleId="23">
    <w:name w:val="B3"/>
    <w:basedOn w:val="3"/>
    <w:qFormat/>
    <w:uiPriority w:val="0"/>
  </w:style>
  <w:style w:type="paragraph" w:customStyle="1" w:styleId="24">
    <w:name w:val="TF"/>
    <w:basedOn w:val="16"/>
    <w:qFormat/>
    <w:uiPriority w:val="0"/>
    <w:pPr>
      <w:keepNext w:val="0"/>
      <w:spacing w:before="0" w:after="24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CMCC-Jingjing</cp:lastModifiedBy>
  <dcterms:modified xsi:type="dcterms:W3CDTF">2025-11-07T07:36:15Z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